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9B542" w14:textId="77777777" w:rsidR="002D78C9" w:rsidRDefault="00FD068C" w:rsidP="00DD3DD7">
      <w:pPr>
        <w:pStyle w:val="Title"/>
      </w:pPr>
      <w:r w:rsidRPr="002F663C">
        <w:t>NOTIFICATION</w:t>
      </w:r>
    </w:p>
    <w:p w14:paraId="619B69FC" w14:textId="77777777" w:rsidR="002F663C" w:rsidRPr="002F663C" w:rsidRDefault="00FD068C" w:rsidP="00DD3DD7">
      <w:pPr>
        <w:pStyle w:val="Title3"/>
      </w:pPr>
      <w:r w:rsidRPr="002F663C">
        <w:t>Addendum</w:t>
      </w:r>
    </w:p>
    <w:p w14:paraId="223DCD8D" w14:textId="77777777" w:rsidR="002F663C" w:rsidRDefault="00FD068C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31 March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38036E5E" w14:textId="77777777" w:rsidR="001E2E4A" w:rsidRPr="002F663C" w:rsidRDefault="001E2E4A" w:rsidP="001E2E4A">
      <w:pPr>
        <w:rPr>
          <w:rFonts w:eastAsia="Calibri" w:cs="Times New Roman"/>
        </w:rPr>
      </w:pPr>
    </w:p>
    <w:p w14:paraId="76ADE54F" w14:textId="77777777" w:rsidR="002F663C" w:rsidRPr="002F663C" w:rsidRDefault="00FD068C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8430DC0" w14:textId="77777777" w:rsidR="002F663C" w:rsidRDefault="002F663C" w:rsidP="002F663C">
      <w:pPr>
        <w:rPr>
          <w:rFonts w:eastAsia="Calibri" w:cs="Times New Roman"/>
        </w:rPr>
      </w:pPr>
    </w:p>
    <w:p w14:paraId="0F733095" w14:textId="77777777" w:rsidR="00C14444" w:rsidRPr="002F663C" w:rsidRDefault="00C14444" w:rsidP="002F663C">
      <w:pPr>
        <w:rPr>
          <w:rFonts w:eastAsia="Calibri" w:cs="Times New Roman"/>
        </w:rPr>
      </w:pPr>
    </w:p>
    <w:p w14:paraId="511B6F96" w14:textId="77777777" w:rsidR="002F663C" w:rsidRPr="002F663C" w:rsidRDefault="00FD068C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Conformity Assessment Requirements for Party Articles - Consolidated.</w:t>
      </w:r>
      <w:bookmarkEnd w:id="3"/>
      <w:bookmarkEnd w:id="4"/>
    </w:p>
    <w:p w14:paraId="2494B4D2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6D5893" w14:paraId="590323EE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7E9A245" w14:textId="77777777" w:rsidR="002F663C" w:rsidRPr="002F663C" w:rsidRDefault="00FD068C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6D5893" w14:paraId="0CD0BFC0" w14:textId="77777777" w:rsidTr="00E9471B">
        <w:tc>
          <w:tcPr>
            <w:tcW w:w="851" w:type="dxa"/>
            <w:shd w:val="clear" w:color="auto" w:fill="auto"/>
          </w:tcPr>
          <w:p w14:paraId="68864CD5" w14:textId="77777777" w:rsidR="002F663C" w:rsidRPr="00711F9C" w:rsidRDefault="00FD068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33E6C63" w14:textId="77777777" w:rsidR="002F663C" w:rsidRPr="002F663C" w:rsidRDefault="00FD068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6D5893" w14:paraId="416EABAF" w14:textId="77777777" w:rsidTr="00E9471B">
        <w:tc>
          <w:tcPr>
            <w:tcW w:w="851" w:type="dxa"/>
            <w:shd w:val="clear" w:color="auto" w:fill="auto"/>
          </w:tcPr>
          <w:p w14:paraId="3F58DB8E" w14:textId="77777777" w:rsidR="002F663C" w:rsidRPr="00711F9C" w:rsidRDefault="00FD068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EEBA6E6" w14:textId="77777777" w:rsidR="002F663C" w:rsidRPr="002F663C" w:rsidRDefault="00FD068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6D5893" w14:paraId="42FFA1D4" w14:textId="77777777" w:rsidTr="00E9471B">
        <w:tc>
          <w:tcPr>
            <w:tcW w:w="851" w:type="dxa"/>
            <w:shd w:val="clear" w:color="auto" w:fill="auto"/>
          </w:tcPr>
          <w:p w14:paraId="4DBD2227" w14:textId="77777777" w:rsidR="002F663C" w:rsidRPr="00711F9C" w:rsidRDefault="00FD068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BD41A3E" w14:textId="77777777" w:rsidR="002F663C" w:rsidRPr="002F663C" w:rsidRDefault="00FD068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23 March 2021</w:t>
            </w:r>
            <w:bookmarkEnd w:id="11"/>
          </w:p>
        </w:tc>
      </w:tr>
      <w:tr w:rsidR="006D5893" w14:paraId="15E6C271" w14:textId="77777777" w:rsidTr="00E9471B">
        <w:tc>
          <w:tcPr>
            <w:tcW w:w="851" w:type="dxa"/>
            <w:shd w:val="clear" w:color="auto" w:fill="auto"/>
          </w:tcPr>
          <w:p w14:paraId="63F00BAB" w14:textId="77777777" w:rsidR="002F663C" w:rsidRPr="00711F9C" w:rsidRDefault="00FD068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AFC8E2B" w14:textId="77777777" w:rsidR="002F663C" w:rsidRPr="002F663C" w:rsidRDefault="00FD068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April 2021</w:t>
            </w:r>
            <w:bookmarkEnd w:id="13"/>
          </w:p>
        </w:tc>
      </w:tr>
      <w:tr w:rsidR="006D5893" w14:paraId="282C8F45" w14:textId="77777777" w:rsidTr="00E9471B">
        <w:tc>
          <w:tcPr>
            <w:tcW w:w="851" w:type="dxa"/>
            <w:shd w:val="clear" w:color="auto" w:fill="auto"/>
          </w:tcPr>
          <w:p w14:paraId="50BE3314" w14:textId="77777777" w:rsidR="002F663C" w:rsidRPr="00711F9C" w:rsidRDefault="00FD068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BBA71CA" w14:textId="77777777" w:rsidR="002F663C" w:rsidRPr="002F663C" w:rsidRDefault="00FD068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2AAC1EF6" w14:textId="77777777" w:rsidR="00467A46" w:rsidRDefault="00324F10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FD068C">
                <w:rPr>
                  <w:rFonts w:eastAsia="Calibri" w:cs="Times New Roman"/>
                  <w:color w:val="0000FF"/>
                  <w:u w:val="single"/>
                </w:rPr>
                <w:t>https://www.in.gov.br/en/web/dou/-/portaria-n-121-de-15-de-marco-de-2021-310003761</w:t>
              </w:r>
            </w:hyperlink>
            <w:r w:rsidR="00FD068C">
              <w:rPr>
                <w:rFonts w:eastAsia="Calibri" w:cs="Times New Roman"/>
              </w:rPr>
              <w:t xml:space="preserve"> </w:t>
            </w:r>
            <w:hyperlink r:id="rId9" w:history="1">
              <w:r w:rsidR="00FD068C">
                <w:rPr>
                  <w:rFonts w:eastAsia="Calibri" w:cs="Times New Roman"/>
                  <w:color w:val="0000FF"/>
                  <w:u w:val="single"/>
                </w:rPr>
                <w:t>http://www.inmetro.gov.br/legislacao/rtac/pdf/RTAC002718.pdf</w:t>
              </w:r>
            </w:hyperlink>
            <w:bookmarkEnd w:id="16"/>
          </w:p>
        </w:tc>
      </w:tr>
      <w:tr w:rsidR="006D5893" w14:paraId="48447F55" w14:textId="77777777" w:rsidTr="00E9471B">
        <w:tc>
          <w:tcPr>
            <w:tcW w:w="851" w:type="dxa"/>
            <w:shd w:val="clear" w:color="auto" w:fill="auto"/>
          </w:tcPr>
          <w:p w14:paraId="508123FB" w14:textId="77777777" w:rsidR="002F663C" w:rsidRPr="00711F9C" w:rsidRDefault="00FD068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54E2CD4" w14:textId="77777777" w:rsidR="002F663C" w:rsidRPr="002F663C" w:rsidRDefault="00FD068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231A6FEC" w14:textId="77777777" w:rsidR="002F663C" w:rsidRPr="002F663C" w:rsidRDefault="00FD068C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6D5893" w14:paraId="35AC645C" w14:textId="77777777" w:rsidTr="00E9471B">
        <w:tc>
          <w:tcPr>
            <w:tcW w:w="851" w:type="dxa"/>
            <w:shd w:val="clear" w:color="auto" w:fill="auto"/>
          </w:tcPr>
          <w:p w14:paraId="06D5CE7A" w14:textId="77777777" w:rsidR="002F663C" w:rsidRPr="00711F9C" w:rsidRDefault="00FD068C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35ED5B1" w14:textId="77777777" w:rsidR="002F663C" w:rsidRPr="002F663C" w:rsidRDefault="00FD068C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7838CA0E" w14:textId="77777777" w:rsidR="002F663C" w:rsidRPr="002F663C" w:rsidRDefault="00FD068C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6D5893" w14:paraId="35E9FFE4" w14:textId="77777777" w:rsidTr="00E9471B">
        <w:tc>
          <w:tcPr>
            <w:tcW w:w="851" w:type="dxa"/>
            <w:shd w:val="clear" w:color="auto" w:fill="auto"/>
          </w:tcPr>
          <w:p w14:paraId="3192FF34" w14:textId="77777777" w:rsidR="002F663C" w:rsidRPr="00711F9C" w:rsidRDefault="00FD068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F55494D" w14:textId="77777777" w:rsidR="002F663C" w:rsidRPr="002F663C" w:rsidRDefault="00FD068C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6D5893" w14:paraId="2B283028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D0A9D79" w14:textId="77777777" w:rsidR="002F663C" w:rsidRPr="00711F9C" w:rsidRDefault="00FD068C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4B482E62" w14:textId="77777777" w:rsidR="002F663C" w:rsidRPr="002F663C" w:rsidRDefault="00FD068C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3FCC3E1B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197767E7" w14:textId="77777777" w:rsidR="003971FF" w:rsidRPr="007F6EA2" w:rsidRDefault="00FD068C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National Institute of Metrology, Quality and Technology – Inmetro, issued Ordinance 121, 15 March 2021, that approves The Conformity Assessment Requirements for Party Articles - Consolidated.</w:t>
      </w:r>
    </w:p>
    <w:p w14:paraId="14D9D772" w14:textId="77777777" w:rsidR="00D222AD" w:rsidRPr="002F663C" w:rsidRDefault="00FD068C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The aim of the consolidation of the regulation is to attend decree no. 10.139 of 28 November 2020.</w:t>
      </w:r>
    </w:p>
    <w:p w14:paraId="042AF1AE" w14:textId="77777777" w:rsidR="00D222AD" w:rsidRPr="002F663C" w:rsidRDefault="00FD068C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This following Ordinances revokes:</w:t>
      </w:r>
    </w:p>
    <w:p w14:paraId="7E865BB3" w14:textId="77777777" w:rsidR="00D222AD" w:rsidRPr="002F663C" w:rsidRDefault="00FD068C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-       Ordinance Inmetro No. 545, of October 25, 2012, published in the Official Gazette on 29 October 2012, section 1, pages 77 to 78;</w:t>
      </w:r>
    </w:p>
    <w:p w14:paraId="0378EAC7" w14:textId="77777777" w:rsidR="00D222AD" w:rsidRPr="002F663C" w:rsidRDefault="00FD068C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-       Ordinance Inmetro No. 603, on 12 December 2013, published in the Official Gazette of December 16, 2013, section 1, pages 86 to 87;</w:t>
      </w:r>
    </w:p>
    <w:p w14:paraId="50D37470" w14:textId="77777777" w:rsidR="00D222AD" w:rsidRPr="002F663C" w:rsidRDefault="00FD068C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-       Ordinance Inmetro No. 270, on 2 June 2, 2015, published in the Official Gazette of 3 June  2015, section 1, pages 63 to 64;</w:t>
      </w:r>
    </w:p>
    <w:p w14:paraId="5B26C39A" w14:textId="77777777" w:rsidR="00D222AD" w:rsidRPr="002F663C" w:rsidRDefault="00FD068C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-       Ordinance Inmetro nº 147, on March 26, 2019, published in the Official Gazette of 1 April 2019, section 1, pages 84 to 85;</w:t>
      </w:r>
    </w:p>
    <w:p w14:paraId="792ADFC1" w14:textId="77777777" w:rsidR="00D222AD" w:rsidRPr="002F663C" w:rsidRDefault="00FD068C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-       Ordinance Inmetro No. 507, on December 10, 2019, published in the Official Gazette of 6 January 2019, section 1, page 15;</w:t>
      </w:r>
    </w:p>
    <w:p w14:paraId="7CD6F621" w14:textId="77777777" w:rsidR="00D222AD" w:rsidRPr="002F663C" w:rsidRDefault="00FD068C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-       Ordinance Inmetro No. 343, on November 13, 2020, published in the Official Gazette of 13 November 2020, section 1, page 59, previously notified through G/TBT/N/BRA/396/Add.12</w:t>
      </w:r>
    </w:p>
    <w:p w14:paraId="5DAD5C7A" w14:textId="77777777" w:rsidR="006C5A96" w:rsidRDefault="00FD068C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5EC1A456" w14:textId="77777777" w:rsidR="004D4D19" w:rsidRDefault="004D4D19" w:rsidP="007F38C2">
      <w:pPr>
        <w:jc w:val="center"/>
        <w:rPr>
          <w:b/>
        </w:rPr>
      </w:pPr>
    </w:p>
    <w:p w14:paraId="45CA6649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E3430" w14:textId="77777777" w:rsidR="00526069" w:rsidRDefault="00FD068C">
      <w:r>
        <w:separator/>
      </w:r>
    </w:p>
  </w:endnote>
  <w:endnote w:type="continuationSeparator" w:id="0">
    <w:p w14:paraId="5D042721" w14:textId="77777777" w:rsidR="00526069" w:rsidRDefault="00FD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7EE3" w14:textId="77777777" w:rsidR="00544326" w:rsidRPr="00DD3DD7" w:rsidRDefault="00FD068C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1B11" w14:textId="77777777" w:rsidR="00544326" w:rsidRPr="00DD3DD7" w:rsidRDefault="00FD068C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2DFB5" w14:textId="77777777" w:rsidR="00BB5622" w:rsidRDefault="00FD068C" w:rsidP="00ED54E0">
      <w:r>
        <w:separator/>
      </w:r>
    </w:p>
  </w:footnote>
  <w:footnote w:type="continuationSeparator" w:id="0">
    <w:p w14:paraId="3824E265" w14:textId="77777777" w:rsidR="00BB5622" w:rsidRDefault="00FD068C" w:rsidP="00ED54E0">
      <w:r>
        <w:continuationSeparator/>
      </w:r>
    </w:p>
  </w:footnote>
  <w:footnote w:id="1">
    <w:p w14:paraId="1E64B5FF" w14:textId="77777777" w:rsidR="007F6EA2" w:rsidRDefault="00FD06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0B90" w14:textId="77777777" w:rsidR="00DD3DD7" w:rsidRDefault="00FD068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PROVISIONAL212375</w:t>
    </w:r>
    <w:bookmarkEnd w:id="27"/>
  </w:p>
  <w:p w14:paraId="2179668F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9604E38" w14:textId="77777777" w:rsidR="00DD3DD7" w:rsidRPr="00DD3DD7" w:rsidRDefault="00FD068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0EA5A51F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71410" w14:textId="77777777" w:rsidR="00DD3DD7" w:rsidRPr="00DD3DD7" w:rsidRDefault="00FD068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G/TBT/N/BRA/396/Add.13</w:t>
    </w:r>
    <w:bookmarkEnd w:id="28"/>
  </w:p>
  <w:p w14:paraId="3B49A658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7F5377" w14:textId="77777777" w:rsidR="00DD3DD7" w:rsidRPr="00DD3DD7" w:rsidRDefault="00FD068C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16B1B960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D5893" w14:paraId="67C7C92D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6E14D9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229556" w14:textId="77777777" w:rsidR="00ED54E0" w:rsidRPr="00182B84" w:rsidRDefault="00FD068C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6D5893" w14:paraId="71B89196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67DA161" w14:textId="77777777" w:rsidR="00ED54E0" w:rsidRPr="00182B84" w:rsidRDefault="00FD068C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3BF8DA25" wp14:editId="54D58539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554050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A504DE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6D5893" w14:paraId="0E16ED41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0B618A2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DBE37A" w14:textId="77777777" w:rsidR="00DD3DD7" w:rsidRPr="002F663C" w:rsidRDefault="00FD068C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G/TBT/N/BRA/396/Add.13</w:t>
          </w:r>
          <w:bookmarkEnd w:id="29"/>
        </w:p>
        <w:p w14:paraId="32B2BD5A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6D5893" w14:paraId="7971CFCC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989C00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A5671F" w14:textId="27D0D0DE" w:rsidR="00ED54E0" w:rsidRPr="00182B84" w:rsidRDefault="00FD068C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31 March 2021</w:t>
          </w:r>
        </w:p>
      </w:tc>
    </w:tr>
    <w:tr w:rsidR="006D5893" w14:paraId="5A1A06CE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E3DC683" w14:textId="4484E110" w:rsidR="00ED54E0" w:rsidRPr="00182B84" w:rsidRDefault="00FD068C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305280">
            <w:rPr>
              <w:rFonts w:eastAsia="Calibri" w:cs="Times New Roman"/>
              <w:color w:val="FF0000"/>
              <w:szCs w:val="16"/>
            </w:rPr>
            <w:t>2671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2F55DBD" w14:textId="77777777" w:rsidR="00ED54E0" w:rsidRPr="00182B84" w:rsidRDefault="00FD068C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6D5893" w14:paraId="32D765F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384034C" w14:textId="77777777" w:rsidR="00ED54E0" w:rsidRPr="00182B84" w:rsidRDefault="00FD068C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A7F5B1D" w14:textId="77777777" w:rsidR="00ED54E0" w:rsidRPr="00182B84" w:rsidRDefault="00FD068C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C6E9270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B066B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6688E86" w:tentative="1">
      <w:start w:val="1"/>
      <w:numFmt w:val="lowerLetter"/>
      <w:lvlText w:val="%2."/>
      <w:lvlJc w:val="left"/>
      <w:pPr>
        <w:ind w:left="1080" w:hanging="360"/>
      </w:pPr>
    </w:lvl>
    <w:lvl w:ilvl="2" w:tplc="453A24D0" w:tentative="1">
      <w:start w:val="1"/>
      <w:numFmt w:val="lowerRoman"/>
      <w:lvlText w:val="%3."/>
      <w:lvlJc w:val="right"/>
      <w:pPr>
        <w:ind w:left="1800" w:hanging="180"/>
      </w:pPr>
    </w:lvl>
    <w:lvl w:ilvl="3" w:tplc="9B022330" w:tentative="1">
      <w:start w:val="1"/>
      <w:numFmt w:val="decimal"/>
      <w:lvlText w:val="%4."/>
      <w:lvlJc w:val="left"/>
      <w:pPr>
        <w:ind w:left="2520" w:hanging="360"/>
      </w:pPr>
    </w:lvl>
    <w:lvl w:ilvl="4" w:tplc="33A25084" w:tentative="1">
      <w:start w:val="1"/>
      <w:numFmt w:val="lowerLetter"/>
      <w:lvlText w:val="%5."/>
      <w:lvlJc w:val="left"/>
      <w:pPr>
        <w:ind w:left="3240" w:hanging="360"/>
      </w:pPr>
    </w:lvl>
    <w:lvl w:ilvl="5" w:tplc="6A5A7A68" w:tentative="1">
      <w:start w:val="1"/>
      <w:numFmt w:val="lowerRoman"/>
      <w:lvlText w:val="%6."/>
      <w:lvlJc w:val="right"/>
      <w:pPr>
        <w:ind w:left="3960" w:hanging="180"/>
      </w:pPr>
    </w:lvl>
    <w:lvl w:ilvl="6" w:tplc="8860720C" w:tentative="1">
      <w:start w:val="1"/>
      <w:numFmt w:val="decimal"/>
      <w:lvlText w:val="%7."/>
      <w:lvlJc w:val="left"/>
      <w:pPr>
        <w:ind w:left="4680" w:hanging="360"/>
      </w:pPr>
    </w:lvl>
    <w:lvl w:ilvl="7" w:tplc="BB401370" w:tentative="1">
      <w:start w:val="1"/>
      <w:numFmt w:val="lowerLetter"/>
      <w:lvlText w:val="%8."/>
      <w:lvlJc w:val="left"/>
      <w:pPr>
        <w:ind w:left="5400" w:hanging="360"/>
      </w:pPr>
    </w:lvl>
    <w:lvl w:ilvl="8" w:tplc="1EA2B2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D0DD5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05280"/>
    <w:rsid w:val="003156C6"/>
    <w:rsid w:val="00324F10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26069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D5893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2AD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068C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80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portaria-n-121-de-15-de-marco-de-2021-31000376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metro.gov.br/legislacao/rtac/pdf/RTAC002718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316</Words>
  <Characters>1749</Characters>
  <Application>Microsoft Office Word</Application>
  <DocSecurity>0</DocSecurity>
  <Lines>53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2021-03-31T07:55:00Z</dcterms:created>
  <dcterms:modified xsi:type="dcterms:W3CDTF">2021-03-31T09:16:00Z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77d3a209-d280-494c-abba-d0634965c351</vt:lpwstr>
  </property>
  <property fmtid="{D5CDD505-2E9C-101B-9397-08002B2CF9AE}" pid="4" name="WTOCLASSIFICATION">
    <vt:lpwstr>WTO OFFICIAL</vt:lpwstr>
  </property>
</Properties>
</file>