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259D" w14:textId="77777777" w:rsidR="00B531D9" w:rsidRPr="003A3E55" w:rsidRDefault="0081616E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796CC0F0" w14:textId="77777777" w:rsidR="00B531D9" w:rsidRPr="003A3E55" w:rsidRDefault="0081616E" w:rsidP="003A3E55">
      <w:pPr>
        <w:jc w:val="center"/>
      </w:pPr>
      <w:r w:rsidRPr="003A3E55">
        <w:t>Se da traslado de la notificación siguiente de conformidad con el artículo 10.6.</w:t>
      </w:r>
    </w:p>
    <w:p w14:paraId="5C32AD46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3D7FA8" w14:paraId="4D33B086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1F2E3A76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4B858726" w14:textId="77777777" w:rsidR="00A52F73" w:rsidRPr="003A3E55" w:rsidRDefault="0081616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REPÚBLICA DOMINICANA</w:t>
            </w:r>
            <w:bookmarkEnd w:id="1"/>
          </w:p>
          <w:p w14:paraId="5C9EA52E" w14:textId="77777777" w:rsidR="00A52F73" w:rsidRPr="003A3E55" w:rsidRDefault="0081616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3D7FA8" w14:paraId="726E3BD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7E436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ADC28" w14:textId="77777777" w:rsidR="00A52F73" w:rsidRPr="003A3E55" w:rsidRDefault="0081616E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316CE3FE" w14:textId="77777777" w:rsidR="00AF251E" w:rsidRPr="003A3E55" w:rsidRDefault="0081616E" w:rsidP="00873EB4">
            <w:pPr>
              <w:spacing w:after="120"/>
            </w:pPr>
            <w:r w:rsidRPr="003A3E55">
              <w:t>Ministerio de Obras Públicas y Comunicaciones/Dirección General de Reglamentos y Sistemas</w:t>
            </w:r>
            <w:bookmarkEnd w:id="5"/>
          </w:p>
          <w:p w14:paraId="39734BAF" w14:textId="77777777" w:rsidR="00A52F73" w:rsidRPr="003A3E55" w:rsidRDefault="0081616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172B4C32" w14:textId="77777777" w:rsidR="00A22D74" w:rsidRPr="006A63E9" w:rsidRDefault="0081616E" w:rsidP="008849EF">
            <w:r w:rsidRPr="006A63E9">
              <w:t>Dirección General de Reglamentos y Sistemas:</w:t>
            </w:r>
          </w:p>
          <w:p w14:paraId="7316E8E9" w14:textId="77777777" w:rsidR="00A22D74" w:rsidRPr="006A63E9" w:rsidRDefault="0081616E" w:rsidP="008849EF">
            <w:r w:rsidRPr="006A63E9">
              <w:t>Ing. Rosa Ortiz .- Oficina. (809)565-2811 Ext 6036/2010 / Cel. (829)962-9975</w:t>
            </w:r>
          </w:p>
          <w:p w14:paraId="50F22F2D" w14:textId="77777777" w:rsidR="00A22D74" w:rsidRPr="006A63E9" w:rsidRDefault="0081616E" w:rsidP="008849EF">
            <w:r w:rsidRPr="006A63E9">
              <w:t xml:space="preserve">Correos.- </w:t>
            </w:r>
            <w:hyperlink r:id="rId7" w:history="1">
              <w:r w:rsidRPr="006A63E9">
                <w:rPr>
                  <w:color w:val="0000FF"/>
                  <w:u w:val="single"/>
                </w:rPr>
                <w:t>r.ortiz@mopc.gob.do</w:t>
              </w:r>
            </w:hyperlink>
            <w:r w:rsidRPr="006A63E9">
              <w:t xml:space="preserve"> / </w:t>
            </w:r>
            <w:hyperlink r:id="rId8" w:history="1">
              <w:r w:rsidRPr="006A63E9">
                <w:rPr>
                  <w:color w:val="0000FF"/>
                  <w:u w:val="single"/>
                </w:rPr>
                <w:t>rosymaggiolo@hotmail.com</w:t>
              </w:r>
            </w:hyperlink>
          </w:p>
          <w:p w14:paraId="7608A6FD" w14:textId="77777777" w:rsidR="00A22D74" w:rsidRPr="006A63E9" w:rsidRDefault="0081616E" w:rsidP="008849EF">
            <w:r w:rsidRPr="006A63E9">
              <w:t>Arq. Xiomara Almodóvar.- Oficina. (809)565-2811 Ext 9298 / Cel.(809)258-1529</w:t>
            </w:r>
          </w:p>
          <w:p w14:paraId="44FB295A" w14:textId="77777777" w:rsidR="00A22D74" w:rsidRPr="006A63E9" w:rsidRDefault="0081616E" w:rsidP="008849EF">
            <w:pPr>
              <w:spacing w:after="120"/>
            </w:pPr>
            <w:r w:rsidRPr="006A63E9">
              <w:t xml:space="preserve">Correos: </w:t>
            </w:r>
            <w:hyperlink r:id="rId9" w:history="1">
              <w:r w:rsidRPr="006A63E9">
                <w:rPr>
                  <w:color w:val="0000FF"/>
                  <w:u w:val="single"/>
                </w:rPr>
                <w:t>x.almodovar@mopc.gob.do</w:t>
              </w:r>
            </w:hyperlink>
            <w:r w:rsidRPr="006A63E9">
              <w:t xml:space="preserve"> / </w:t>
            </w:r>
            <w:hyperlink r:id="rId10" w:history="1">
              <w:r w:rsidRPr="006A63E9">
                <w:rPr>
                  <w:color w:val="0000FF"/>
                  <w:u w:val="single"/>
                </w:rPr>
                <w:t>xiomaralmodovar@hotmail.com</w:t>
              </w:r>
            </w:hyperlink>
            <w:bookmarkEnd w:id="7"/>
          </w:p>
        </w:tc>
      </w:tr>
      <w:tr w:rsidR="003D7FA8" w14:paraId="3BF96DD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A47ED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61827" w14:textId="77777777" w:rsidR="00A52F73" w:rsidRPr="003A3E55" w:rsidRDefault="0081616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3D7FA8" w14:paraId="7CB7D7F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739CD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15ADF" w14:textId="77777777" w:rsidR="00A52F73" w:rsidRPr="003A3E55" w:rsidRDefault="0081616E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Hormigón y productos de hormigón (Código(s) de la ICS: 91.100.30)</w:t>
            </w:r>
            <w:bookmarkEnd w:id="22"/>
          </w:p>
        </w:tc>
      </w:tr>
      <w:tr w:rsidR="003D7FA8" w14:paraId="5D820A0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59027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7E53D" w14:textId="77777777" w:rsidR="00A52F73" w:rsidRPr="003A3E55" w:rsidRDefault="0081616E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RT-102 REGLAMENTO TÉCNICO DE HORMIGÓN HIDRÁULICO; (22 página(s), en español)</w:t>
            </w:r>
            <w:bookmarkEnd w:id="24"/>
          </w:p>
        </w:tc>
      </w:tr>
      <w:tr w:rsidR="003D7FA8" w14:paraId="1B3EB38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8C46E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487C8" w14:textId="77777777" w:rsidR="00A52F73" w:rsidRPr="003A3E55" w:rsidRDefault="0081616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 xml:space="preserve">· Consideraciones generales </w:t>
            </w:r>
          </w:p>
          <w:p w14:paraId="4179B2A3" w14:textId="77777777" w:rsidR="00AF251E" w:rsidRPr="003A3E55" w:rsidRDefault="0081616E" w:rsidP="003A3E55">
            <w:pPr>
              <w:spacing w:before="120" w:after="120"/>
            </w:pPr>
            <w:r w:rsidRPr="003A3E55">
              <w:t>· Objetivo y campo de aplicación</w:t>
            </w:r>
          </w:p>
          <w:p w14:paraId="74C6ECC8" w14:textId="77777777" w:rsidR="00AF251E" w:rsidRPr="003A3E55" w:rsidRDefault="0081616E" w:rsidP="003A3E55">
            <w:pPr>
              <w:spacing w:before="120" w:after="120"/>
            </w:pPr>
            <w:r w:rsidRPr="003A3E55">
              <w:t>· Definiciones y notaciones</w:t>
            </w:r>
          </w:p>
          <w:p w14:paraId="0E769F22" w14:textId="77777777" w:rsidR="00AF251E" w:rsidRPr="003A3E55" w:rsidRDefault="0081616E" w:rsidP="003A3E55">
            <w:pPr>
              <w:spacing w:before="120" w:after="120"/>
            </w:pPr>
            <w:r w:rsidRPr="003A3E55">
              <w:t>· Requisitos que cumplir</w:t>
            </w:r>
          </w:p>
          <w:p w14:paraId="77C3932C" w14:textId="77777777" w:rsidR="00AF251E" w:rsidRPr="003A3E55" w:rsidRDefault="0081616E" w:rsidP="003A3E55">
            <w:pPr>
              <w:spacing w:before="120" w:after="120"/>
            </w:pPr>
            <w:r w:rsidRPr="003A3E55">
              <w:t>· Especificaciones del producto</w:t>
            </w:r>
          </w:p>
          <w:p w14:paraId="24F1E530" w14:textId="77777777" w:rsidR="00AF251E" w:rsidRPr="003A3E55" w:rsidRDefault="0081616E" w:rsidP="003A3E55">
            <w:pPr>
              <w:spacing w:before="120" w:after="120"/>
            </w:pPr>
            <w:r w:rsidRPr="003A3E55">
              <w:t>· Criterios generales</w:t>
            </w:r>
          </w:p>
          <w:p w14:paraId="6EF232FC" w14:textId="77777777" w:rsidR="00AF251E" w:rsidRPr="003A3E55" w:rsidRDefault="0081616E" w:rsidP="003A3E55">
            <w:pPr>
              <w:spacing w:before="120" w:after="120"/>
            </w:pPr>
            <w:r w:rsidRPr="003A3E55">
              <w:t>· Requisitos de los materiales</w:t>
            </w:r>
          </w:p>
          <w:p w14:paraId="5C9AD180" w14:textId="77777777" w:rsidR="00AF251E" w:rsidRPr="003A3E55" w:rsidRDefault="0081616E" w:rsidP="003A3E55">
            <w:pPr>
              <w:spacing w:before="120" w:after="120"/>
            </w:pPr>
            <w:r w:rsidRPr="003A3E55">
              <w:t>· Requisitos de mezclado</w:t>
            </w:r>
          </w:p>
          <w:p w14:paraId="3A640154" w14:textId="77777777" w:rsidR="00AF251E" w:rsidRPr="003A3E55" w:rsidRDefault="0081616E" w:rsidP="003A3E55">
            <w:pPr>
              <w:spacing w:before="120" w:after="120"/>
            </w:pPr>
            <w:r w:rsidRPr="003A3E55">
              <w:t>· Disposiciones del proceso de comercialización</w:t>
            </w:r>
          </w:p>
          <w:p w14:paraId="2993C796" w14:textId="77777777" w:rsidR="00AF251E" w:rsidRPr="003A3E55" w:rsidRDefault="0081616E" w:rsidP="003A3E55">
            <w:pPr>
              <w:spacing w:before="120" w:after="120"/>
            </w:pPr>
            <w:r w:rsidRPr="003A3E55">
              <w:t>· Criterios de diseño y construcción</w:t>
            </w:r>
          </w:p>
          <w:p w14:paraId="255C97B1" w14:textId="77777777" w:rsidR="00AF251E" w:rsidRPr="003A3E55" w:rsidRDefault="0081616E" w:rsidP="003A3E55">
            <w:pPr>
              <w:spacing w:before="120" w:after="120"/>
            </w:pPr>
            <w:r w:rsidRPr="003A3E55">
              <w:t>· Uso del hormigón a nivel constructivo</w:t>
            </w:r>
          </w:p>
          <w:p w14:paraId="6C341EBD" w14:textId="77777777" w:rsidR="00AF251E" w:rsidRPr="003A3E55" w:rsidRDefault="0081616E" w:rsidP="003A3E55">
            <w:pPr>
              <w:spacing w:before="120" w:after="120"/>
            </w:pPr>
            <w:r w:rsidRPr="003A3E55">
              <w:lastRenderedPageBreak/>
              <w:t>· Clases de hormigón hidráulico según la resistencia</w:t>
            </w:r>
          </w:p>
          <w:p w14:paraId="268C36C4" w14:textId="77777777" w:rsidR="00AF251E" w:rsidRPr="003A3E55" w:rsidRDefault="0081616E" w:rsidP="003A3E55">
            <w:pPr>
              <w:spacing w:before="120" w:after="120"/>
            </w:pPr>
            <w:r w:rsidRPr="003A3E55">
              <w:t>· Usos del hormigón atendiendo a su resistencia</w:t>
            </w:r>
          </w:p>
          <w:p w14:paraId="6C1DCBA7" w14:textId="77777777" w:rsidR="00AF251E" w:rsidRPr="003A3E55" w:rsidRDefault="0081616E" w:rsidP="003A3E55">
            <w:pPr>
              <w:spacing w:before="120" w:after="120"/>
            </w:pPr>
            <w:r w:rsidRPr="003A3E55">
              <w:t>· Criterios de inspección</w:t>
            </w:r>
          </w:p>
          <w:p w14:paraId="4E1AA653" w14:textId="77777777" w:rsidR="00AF251E" w:rsidRPr="003A3E55" w:rsidRDefault="0081616E" w:rsidP="003A3E55">
            <w:pPr>
              <w:spacing w:before="120" w:after="120"/>
            </w:pPr>
            <w:r w:rsidRPr="003A3E55">
              <w:t>· Muestreo</w:t>
            </w:r>
          </w:p>
          <w:p w14:paraId="6F6BA447" w14:textId="77777777" w:rsidR="00AF251E" w:rsidRPr="003A3E55" w:rsidRDefault="0081616E" w:rsidP="003A3E55">
            <w:pPr>
              <w:spacing w:before="120" w:after="120"/>
            </w:pPr>
            <w:r w:rsidRPr="003A3E55">
              <w:t>· Requisitos de control de calidad</w:t>
            </w:r>
          </w:p>
          <w:p w14:paraId="0F8A27BD" w14:textId="77777777" w:rsidR="00AF251E" w:rsidRPr="003A3E55" w:rsidRDefault="0081616E" w:rsidP="003A3E55">
            <w:pPr>
              <w:spacing w:before="120" w:after="120"/>
            </w:pPr>
            <w:r w:rsidRPr="003A3E55">
              <w:t>· Requisitos de laboratorios de ensayos</w:t>
            </w:r>
          </w:p>
          <w:p w14:paraId="42233F86" w14:textId="77777777" w:rsidR="00AF251E" w:rsidRPr="003A3E55" w:rsidRDefault="0081616E" w:rsidP="003A3E55">
            <w:pPr>
              <w:spacing w:before="120" w:after="120"/>
            </w:pPr>
            <w:r w:rsidRPr="003A3E55">
              <w:t>· Evaluación de la conformidad</w:t>
            </w:r>
          </w:p>
          <w:p w14:paraId="5D48C48E" w14:textId="77777777" w:rsidR="00AF251E" w:rsidRPr="003A3E55" w:rsidRDefault="0081616E" w:rsidP="003A3E55">
            <w:pPr>
              <w:spacing w:before="120" w:after="120"/>
            </w:pPr>
            <w:r>
              <w:tab/>
              <w:t>-</w:t>
            </w:r>
            <w:r w:rsidRPr="003A3E55">
              <w:t xml:space="preserve"> de las inspecciones oficiales</w:t>
            </w:r>
          </w:p>
          <w:p w14:paraId="4BA9635C" w14:textId="77777777" w:rsidR="00AF251E" w:rsidRPr="003A3E55" w:rsidRDefault="0081616E" w:rsidP="003A3E55">
            <w:pPr>
              <w:spacing w:before="120" w:after="120"/>
            </w:pPr>
            <w:r>
              <w:tab/>
              <w:t>-</w:t>
            </w:r>
            <w:r w:rsidRPr="003A3E55">
              <w:t xml:space="preserve"> de los productores</w:t>
            </w:r>
          </w:p>
          <w:p w14:paraId="3C55B037" w14:textId="77777777" w:rsidR="00AF251E" w:rsidRPr="003A3E55" w:rsidRDefault="0081616E" w:rsidP="003A3E55">
            <w:pPr>
              <w:spacing w:before="120" w:after="120"/>
            </w:pPr>
            <w:r w:rsidRPr="003A3E55">
              <w:t>· Procedimiento de las inspecciones oficiales</w:t>
            </w:r>
          </w:p>
          <w:p w14:paraId="3E56081F" w14:textId="77777777" w:rsidR="00AF251E" w:rsidRPr="003A3E55" w:rsidRDefault="0081616E" w:rsidP="003A3E55">
            <w:pPr>
              <w:spacing w:before="120" w:after="120"/>
            </w:pPr>
            <w:r w:rsidRPr="003A3E55">
              <w:t>· Disposiciones finales</w:t>
            </w:r>
          </w:p>
          <w:p w14:paraId="05825473" w14:textId="77777777" w:rsidR="00AF251E" w:rsidRPr="003A3E55" w:rsidRDefault="0081616E" w:rsidP="003A3E55">
            <w:pPr>
              <w:spacing w:before="120" w:after="120"/>
            </w:pPr>
            <w:r w:rsidRPr="003A3E55">
              <w:t>· Criterios generales de aplicación</w:t>
            </w:r>
          </w:p>
          <w:p w14:paraId="73EE6251" w14:textId="77777777" w:rsidR="00AF251E" w:rsidRPr="003A3E55" w:rsidRDefault="0081616E" w:rsidP="003A3E55">
            <w:pPr>
              <w:spacing w:before="120" w:after="120"/>
            </w:pPr>
            <w:r w:rsidRPr="003A3E55">
              <w:t>· Disposiciones legales</w:t>
            </w:r>
            <w:bookmarkEnd w:id="26"/>
          </w:p>
        </w:tc>
      </w:tr>
      <w:tr w:rsidR="003D7FA8" w14:paraId="7D016C5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98C9E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4760C" w14:textId="77777777" w:rsidR="00A52F73" w:rsidRPr="003A3E55" w:rsidRDefault="0081616E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Imperativos de seguridad nacional; Protección de la salud o seguridad humanas</w:t>
            </w:r>
            <w:bookmarkEnd w:id="28"/>
          </w:p>
        </w:tc>
      </w:tr>
      <w:tr w:rsidR="003D7FA8" w14:paraId="137BAFF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75353" w14:textId="77777777" w:rsidR="00A52F73" w:rsidRPr="003A3E55" w:rsidRDefault="0081616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476B0" w14:textId="77777777" w:rsidR="00924FA9" w:rsidRPr="003A3E55" w:rsidRDefault="0081616E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37BA081E" w14:textId="77777777" w:rsidR="00A52F73" w:rsidRPr="003A3E55" w:rsidRDefault="0081616E" w:rsidP="00617B12">
            <w:pPr>
              <w:spacing w:before="120" w:after="120"/>
            </w:pPr>
            <w:bookmarkStart w:id="30" w:name="sps9a"/>
            <w:r w:rsidRPr="003A3E55">
              <w:t>• ACI 318, Requisitos del Código de Construcción para Hormigón Estructural.- American Concrete Institute.</w:t>
            </w:r>
          </w:p>
          <w:p w14:paraId="76D639FE" w14:textId="77777777" w:rsidR="00A52F73" w:rsidRPr="003A3E55" w:rsidRDefault="0081616E" w:rsidP="00617B12">
            <w:pPr>
              <w:spacing w:before="120" w:after="120"/>
            </w:pPr>
            <w:r w:rsidRPr="003A3E55">
              <w:t>• ASTM C94/C 94M, Especificación Normalizada para el Hormigón Premezclado.- ASTM International.</w:t>
            </w:r>
            <w:bookmarkEnd w:id="30"/>
          </w:p>
        </w:tc>
      </w:tr>
      <w:tr w:rsidR="003D7FA8" w14:paraId="42C32A66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AB01D" w14:textId="77777777" w:rsidR="00AF251E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2F50C" w14:textId="77777777" w:rsidR="00AF251E" w:rsidRPr="003A3E55" w:rsidRDefault="0081616E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Primer trimestre 2024</w:t>
            </w:r>
            <w:bookmarkEnd w:id="33"/>
          </w:p>
          <w:p w14:paraId="32DF7CCA" w14:textId="77777777" w:rsidR="00AF251E" w:rsidRPr="003A3E55" w:rsidRDefault="0081616E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6 meses después de su adopción</w:t>
            </w:r>
            <w:bookmarkEnd w:id="36"/>
          </w:p>
        </w:tc>
      </w:tr>
      <w:tr w:rsidR="003D7FA8" w14:paraId="4575297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E5CCD" w14:textId="77777777" w:rsidR="00A52F73" w:rsidRPr="003A3E55" w:rsidRDefault="0081616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B04D4" w14:textId="77777777" w:rsidR="00A52F73" w:rsidRPr="003A3E55" w:rsidRDefault="0081616E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60 días a partir de la notificación</w:t>
            </w:r>
            <w:bookmarkEnd w:id="38"/>
          </w:p>
        </w:tc>
      </w:tr>
      <w:tr w:rsidR="003D7FA8" w14:paraId="54EBDABB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AC54640" w14:textId="77777777" w:rsidR="00A52F73" w:rsidRPr="003A3E55" w:rsidRDefault="0081616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D24D4AD" w14:textId="77777777" w:rsidR="00A52F73" w:rsidRPr="003A3E55" w:rsidRDefault="0081616E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 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48FFB901" w14:textId="77777777" w:rsidR="00AF251E" w:rsidRPr="003A3E55" w:rsidRDefault="0081616E" w:rsidP="00AD2FD7">
            <w:pPr>
              <w:keepNext/>
              <w:keepLines/>
            </w:pPr>
            <w:r w:rsidRPr="003A3E55">
              <w:t>Servicio Nacional de Información sobre OTC</w:t>
            </w:r>
          </w:p>
          <w:p w14:paraId="15693222" w14:textId="77777777" w:rsidR="00AF251E" w:rsidRPr="003A3E55" w:rsidRDefault="0081616E" w:rsidP="00AD2FD7">
            <w:pPr>
              <w:keepNext/>
              <w:keepLines/>
            </w:pPr>
            <w:r w:rsidRPr="003A3E55">
              <w:t>Viceministerio de Comercio Exterior (VICOMEX)</w:t>
            </w:r>
          </w:p>
          <w:p w14:paraId="7FB502DC" w14:textId="77777777" w:rsidR="00AF251E" w:rsidRPr="003A3E55" w:rsidRDefault="0081616E" w:rsidP="00AD2FD7">
            <w:pPr>
              <w:keepNext/>
              <w:keepLines/>
            </w:pPr>
            <w:r w:rsidRPr="003A3E55">
              <w:t>Ministerio de Industria, Comercio y Mipymes (MICM)</w:t>
            </w:r>
          </w:p>
          <w:p w14:paraId="5E3BC12F" w14:textId="77777777" w:rsidR="00AF251E" w:rsidRPr="003A3E55" w:rsidRDefault="0081616E" w:rsidP="00AD2FD7">
            <w:pPr>
              <w:keepNext/>
              <w:keepLines/>
            </w:pPr>
            <w:r w:rsidRPr="003A3E55">
              <w:t>Avenida 27 de Febrero No. 306</w:t>
            </w:r>
          </w:p>
          <w:p w14:paraId="356F0D4E" w14:textId="77777777" w:rsidR="00AF251E" w:rsidRPr="003A3E55" w:rsidRDefault="0081616E" w:rsidP="00AD2FD7">
            <w:pPr>
              <w:keepNext/>
              <w:keepLines/>
            </w:pPr>
            <w:r w:rsidRPr="003A3E55">
              <w:t>Torre MICM</w:t>
            </w:r>
          </w:p>
          <w:p w14:paraId="005E2C07" w14:textId="77777777" w:rsidR="00AF251E" w:rsidRPr="003A3E55" w:rsidRDefault="0081616E" w:rsidP="00AD2FD7">
            <w:pPr>
              <w:keepNext/>
              <w:keepLines/>
            </w:pPr>
            <w:r w:rsidRPr="003A3E55">
              <w:t>Bella Vista</w:t>
            </w:r>
          </w:p>
          <w:p w14:paraId="37CBAEFB" w14:textId="77777777" w:rsidR="00AF251E" w:rsidRPr="003A3E55" w:rsidRDefault="0081616E" w:rsidP="00AD2FD7">
            <w:pPr>
              <w:keepNext/>
              <w:keepLines/>
            </w:pPr>
            <w:r w:rsidRPr="003A3E55">
              <w:t>Tel: + (809)-685-5171</w:t>
            </w:r>
          </w:p>
          <w:p w14:paraId="1C04B3FF" w14:textId="77777777" w:rsidR="00AF251E" w:rsidRPr="003A3E55" w:rsidRDefault="0081616E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1" w:history="1">
              <w:r w:rsidRPr="003A3E55">
                <w:rPr>
                  <w:color w:val="0000FF"/>
                  <w:u w:val="single"/>
                </w:rPr>
                <w:t>rdotc@micm.gob.do</w:t>
              </w:r>
            </w:hyperlink>
          </w:p>
          <w:p w14:paraId="7B79F335" w14:textId="77777777" w:rsidR="00AF251E" w:rsidRPr="002D4AF6" w:rsidRDefault="0081616E" w:rsidP="00AD2FD7">
            <w:pPr>
              <w:keepNext/>
              <w:keepLines/>
              <w:rPr>
                <w:lang w:val="en-GB"/>
              </w:rPr>
            </w:pPr>
            <w:r w:rsidRPr="002D4AF6">
              <w:rPr>
                <w:lang w:val="en-GB"/>
              </w:rPr>
              <w:t xml:space="preserve">Sitio web: </w:t>
            </w:r>
            <w:hyperlink r:id="rId12" w:tgtFrame="_blank" w:history="1">
              <w:r w:rsidRPr="002D4AF6">
                <w:rPr>
                  <w:color w:val="0000FF"/>
                  <w:u w:val="single"/>
                  <w:lang w:val="en-GB"/>
                </w:rPr>
                <w:t>https://micm.gob.do</w:t>
              </w:r>
            </w:hyperlink>
          </w:p>
          <w:p w14:paraId="10743397" w14:textId="77777777" w:rsidR="00AF251E" w:rsidRPr="002D4AF6" w:rsidRDefault="00414462" w:rsidP="00AD2FD7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lang w:val="en-GB"/>
              </w:rPr>
            </w:pPr>
            <w:hyperlink r:id="rId13" w:tgtFrame="_blank" w:history="1">
              <w:r w:rsidR="0081616E" w:rsidRPr="002D4AF6">
                <w:rPr>
                  <w:color w:val="0000FF"/>
                  <w:u w:val="single"/>
                  <w:lang w:val="en-GB"/>
                </w:rPr>
                <w:t>https://members.wto.org/crnattachments/2023/TBT/DOM/23_1660_00_s.pdf</w:t>
              </w:r>
            </w:hyperlink>
            <w:bookmarkEnd w:id="41"/>
          </w:p>
        </w:tc>
      </w:tr>
    </w:tbl>
    <w:p w14:paraId="77331E95" w14:textId="77777777" w:rsidR="00AF251E" w:rsidRPr="002D4AF6" w:rsidRDefault="00AF251E" w:rsidP="003A3E55">
      <w:pPr>
        <w:rPr>
          <w:lang w:val="en-GB"/>
        </w:rPr>
      </w:pPr>
    </w:p>
    <w:sectPr w:rsidR="00AF251E" w:rsidRPr="002D4AF6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1C46" w14:textId="77777777" w:rsidR="00715D2D" w:rsidRDefault="0081616E">
      <w:r>
        <w:separator/>
      </w:r>
    </w:p>
  </w:endnote>
  <w:endnote w:type="continuationSeparator" w:id="0">
    <w:p w14:paraId="7268A8F9" w14:textId="77777777" w:rsidR="00715D2D" w:rsidRDefault="008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E667" w14:textId="77777777" w:rsidR="00B531D9" w:rsidRPr="003A3E55" w:rsidRDefault="0081616E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4DB" w14:textId="77777777" w:rsidR="00DD65B2" w:rsidRPr="003A3E55" w:rsidRDefault="0081616E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E6A4" w14:textId="77777777" w:rsidR="00DD65B2" w:rsidRPr="003A3E55" w:rsidRDefault="0081616E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347C" w14:textId="77777777" w:rsidR="00715D2D" w:rsidRDefault="0081616E">
      <w:r>
        <w:separator/>
      </w:r>
    </w:p>
  </w:footnote>
  <w:footnote w:type="continuationSeparator" w:id="0">
    <w:p w14:paraId="323DB716" w14:textId="77777777" w:rsidR="00715D2D" w:rsidRDefault="008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33F" w14:textId="77777777" w:rsidR="00B531D9" w:rsidRPr="003A3E55" w:rsidRDefault="008161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618FD9ED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A84478" w14:textId="77777777" w:rsidR="00B531D9" w:rsidRPr="003A3E55" w:rsidRDefault="008161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0579498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09BB" w14:textId="77777777" w:rsidR="00B531D9" w:rsidRPr="003A3E55" w:rsidRDefault="008161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G/TBT/N/DOM/234</w:t>
    </w:r>
    <w:bookmarkEnd w:id="42"/>
  </w:p>
  <w:p w14:paraId="012950FC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148560" w14:textId="77777777" w:rsidR="00B531D9" w:rsidRPr="003A3E55" w:rsidRDefault="0081616E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134D85B3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D7FA8" w14:paraId="0F52031A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EDB70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25198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3D7FA8" w14:paraId="01F1D8D7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84DBDDB" w14:textId="77777777" w:rsidR="005D4F0E" w:rsidRPr="00674766" w:rsidRDefault="0081616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F2FE39D" wp14:editId="5B3BC5BD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07567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9796A5A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3D7FA8" w14:paraId="432DD617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61850ED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DE55D01" w14:textId="77777777" w:rsidR="00B531D9" w:rsidRPr="003A3E55" w:rsidRDefault="0081616E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G/TBT/N/DOM/234</w:t>
          </w:r>
          <w:bookmarkEnd w:id="44"/>
        </w:p>
      </w:tc>
    </w:tr>
    <w:tr w:rsidR="003D7FA8" w14:paraId="6864AC7D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07B0B51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6E0FE6" w14:textId="7FF56E63" w:rsidR="005D4F0E" w:rsidRPr="00674766" w:rsidRDefault="000A7661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10 de marzo de 2023</w:t>
          </w:r>
        </w:p>
      </w:tc>
    </w:tr>
    <w:tr w:rsidR="003D7FA8" w14:paraId="18BB090B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93A319D" w14:textId="1140C8AE" w:rsidR="005D4F0E" w:rsidRPr="00674766" w:rsidRDefault="0081616E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 w:rsidR="000A7661">
            <w:rPr>
              <w:color w:val="FF0000"/>
              <w:szCs w:val="18"/>
            </w:rPr>
            <w:t>23-</w:t>
          </w:r>
          <w:r w:rsidR="00414462">
            <w:rPr>
              <w:color w:val="FF0000"/>
              <w:szCs w:val="18"/>
            </w:rPr>
            <w:t>1761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88E5E0E" w14:textId="77777777" w:rsidR="005D4F0E" w:rsidRPr="00674766" w:rsidRDefault="0081616E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3D7FA8" w14:paraId="6972753E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A56A92F" w14:textId="77777777" w:rsidR="005D4F0E" w:rsidRPr="00674766" w:rsidRDefault="0081616E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9A56723" w14:textId="77777777" w:rsidR="005D4F0E" w:rsidRPr="003A3E55" w:rsidRDefault="0081616E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6708A8F5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3079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EEB708" w:tentative="1">
      <w:start w:val="1"/>
      <w:numFmt w:val="lowerLetter"/>
      <w:lvlText w:val="%2."/>
      <w:lvlJc w:val="left"/>
      <w:pPr>
        <w:ind w:left="1080" w:hanging="360"/>
      </w:pPr>
    </w:lvl>
    <w:lvl w:ilvl="2" w:tplc="27D0C752" w:tentative="1">
      <w:start w:val="1"/>
      <w:numFmt w:val="lowerRoman"/>
      <w:lvlText w:val="%3."/>
      <w:lvlJc w:val="right"/>
      <w:pPr>
        <w:ind w:left="1800" w:hanging="180"/>
      </w:pPr>
    </w:lvl>
    <w:lvl w:ilvl="3" w:tplc="0E66B766" w:tentative="1">
      <w:start w:val="1"/>
      <w:numFmt w:val="decimal"/>
      <w:lvlText w:val="%4."/>
      <w:lvlJc w:val="left"/>
      <w:pPr>
        <w:ind w:left="2520" w:hanging="360"/>
      </w:pPr>
    </w:lvl>
    <w:lvl w:ilvl="4" w:tplc="34FE80D0" w:tentative="1">
      <w:start w:val="1"/>
      <w:numFmt w:val="lowerLetter"/>
      <w:lvlText w:val="%5."/>
      <w:lvlJc w:val="left"/>
      <w:pPr>
        <w:ind w:left="3240" w:hanging="360"/>
      </w:pPr>
    </w:lvl>
    <w:lvl w:ilvl="5" w:tplc="3D8A4774" w:tentative="1">
      <w:start w:val="1"/>
      <w:numFmt w:val="lowerRoman"/>
      <w:lvlText w:val="%6."/>
      <w:lvlJc w:val="right"/>
      <w:pPr>
        <w:ind w:left="3960" w:hanging="180"/>
      </w:pPr>
    </w:lvl>
    <w:lvl w:ilvl="6" w:tplc="7DF49128" w:tentative="1">
      <w:start w:val="1"/>
      <w:numFmt w:val="decimal"/>
      <w:lvlText w:val="%7."/>
      <w:lvlJc w:val="left"/>
      <w:pPr>
        <w:ind w:left="4680" w:hanging="360"/>
      </w:pPr>
    </w:lvl>
    <w:lvl w:ilvl="7" w:tplc="1AAA700C" w:tentative="1">
      <w:start w:val="1"/>
      <w:numFmt w:val="lowerLetter"/>
      <w:lvlText w:val="%8."/>
      <w:lvlJc w:val="left"/>
      <w:pPr>
        <w:ind w:left="5400" w:hanging="360"/>
      </w:pPr>
    </w:lvl>
    <w:lvl w:ilvl="8" w:tplc="191EEA0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691934">
    <w:abstractNumId w:val="8"/>
  </w:num>
  <w:num w:numId="2" w16cid:durableId="758334041">
    <w:abstractNumId w:val="3"/>
  </w:num>
  <w:num w:numId="3" w16cid:durableId="863010003">
    <w:abstractNumId w:val="2"/>
  </w:num>
  <w:num w:numId="4" w16cid:durableId="1603538483">
    <w:abstractNumId w:val="1"/>
  </w:num>
  <w:num w:numId="5" w16cid:durableId="1554655594">
    <w:abstractNumId w:val="0"/>
  </w:num>
  <w:num w:numId="6" w16cid:durableId="214048482">
    <w:abstractNumId w:val="12"/>
  </w:num>
  <w:num w:numId="7" w16cid:durableId="391924141">
    <w:abstractNumId w:val="10"/>
  </w:num>
  <w:num w:numId="8" w16cid:durableId="1837112671">
    <w:abstractNumId w:val="13"/>
  </w:num>
  <w:num w:numId="9" w16cid:durableId="284388177">
    <w:abstractNumId w:val="9"/>
  </w:num>
  <w:num w:numId="10" w16cid:durableId="360739109">
    <w:abstractNumId w:val="7"/>
  </w:num>
  <w:num w:numId="11" w16cid:durableId="1106074011">
    <w:abstractNumId w:val="6"/>
  </w:num>
  <w:num w:numId="12" w16cid:durableId="1960334125">
    <w:abstractNumId w:val="5"/>
  </w:num>
  <w:num w:numId="13" w16cid:durableId="1470635171">
    <w:abstractNumId w:val="4"/>
  </w:num>
  <w:num w:numId="14" w16cid:durableId="190145508">
    <w:abstractNumId w:val="11"/>
  </w:num>
  <w:num w:numId="15" w16cid:durableId="11255366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425D9"/>
    <w:rsid w:val="00057BEF"/>
    <w:rsid w:val="00067D73"/>
    <w:rsid w:val="00071B26"/>
    <w:rsid w:val="0008008F"/>
    <w:rsid w:val="00092794"/>
    <w:rsid w:val="00093FCA"/>
    <w:rsid w:val="000A7098"/>
    <w:rsid w:val="000A7661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327A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D4AF6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D7FA8"/>
    <w:rsid w:val="003E29E0"/>
    <w:rsid w:val="003E3193"/>
    <w:rsid w:val="003E3A26"/>
    <w:rsid w:val="003F0353"/>
    <w:rsid w:val="003F0B47"/>
    <w:rsid w:val="003F46BB"/>
    <w:rsid w:val="00412DAF"/>
    <w:rsid w:val="00414462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15D2D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1616E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15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maggiolo@hotmail.com" TargetMode="External"/><Relationship Id="rId13" Type="http://schemas.openxmlformats.org/officeDocument/2006/relationships/hyperlink" Target="https://members.wto.org/crnattachments/2023/TBT/DOM/23_1660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.ortiz@mopc.gob.do" TargetMode="External"/><Relationship Id="rId12" Type="http://schemas.openxmlformats.org/officeDocument/2006/relationships/hyperlink" Target="https://micm.gob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otc@micm.gob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xiomaralmodovar@hot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x.almodovar@mopc.gob.d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2023-03-08T10:44:00Z</dcterms:created>
  <dcterms:modified xsi:type="dcterms:W3CDTF">2023-03-09T15:33:00Z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