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2D62" w14:textId="77777777" w:rsidR="00B531D9" w:rsidRPr="003A3E55" w:rsidRDefault="00322263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2B19D195" w14:textId="77777777" w:rsidR="00B531D9" w:rsidRPr="003A3E55" w:rsidRDefault="00322263" w:rsidP="003A3E55">
      <w:pPr>
        <w:jc w:val="center"/>
      </w:pPr>
      <w:r w:rsidRPr="003A3E55">
        <w:t>Se da traslado de la notificación siguiente de conformidad con el artículo 10.6.</w:t>
      </w:r>
    </w:p>
    <w:p w14:paraId="188A17D3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D011A5" w14:paraId="3E8AC5D2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04C0B334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6FA7722F" w14:textId="77777777" w:rsidR="00A52F73" w:rsidRPr="003A3E55" w:rsidRDefault="00322263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REPÚBLICA DOMINICANA</w:t>
            </w:r>
            <w:bookmarkEnd w:id="1"/>
          </w:p>
          <w:p w14:paraId="05D459EE" w14:textId="77777777" w:rsidR="00A52F73" w:rsidRPr="003A3E55" w:rsidRDefault="00322263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D011A5" w14:paraId="5B7BC9BE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3D244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677C3" w14:textId="77777777" w:rsidR="00A52F73" w:rsidRPr="003A3E55" w:rsidRDefault="00322263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659D2D75" w14:textId="77777777" w:rsidR="00AF251E" w:rsidRPr="003A3E55" w:rsidRDefault="00322263" w:rsidP="00873EB4">
            <w:pPr>
              <w:spacing w:after="120"/>
            </w:pPr>
            <w:r w:rsidRPr="003A3E55">
              <w:t>Ministerio de Obras Públicas y Comunicaciones/Dirección General de Reglamentos y Sistemas</w:t>
            </w:r>
            <w:bookmarkEnd w:id="5"/>
          </w:p>
          <w:p w14:paraId="59E5D57E" w14:textId="77777777" w:rsidR="00A52F73" w:rsidRPr="003A3E55" w:rsidRDefault="00322263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13C2381" w14:textId="77777777" w:rsidR="00A22D74" w:rsidRPr="006A63E9" w:rsidRDefault="00322263" w:rsidP="008849EF">
            <w:r w:rsidRPr="006A63E9">
              <w:t>Dirección General de Reglamentos y Sistemas:</w:t>
            </w:r>
          </w:p>
          <w:p w14:paraId="5B2AF8CF" w14:textId="77777777" w:rsidR="00A22D74" w:rsidRPr="006A63E9" w:rsidRDefault="00322263" w:rsidP="008849EF">
            <w:r w:rsidRPr="006A63E9">
              <w:t>Ing. Rosa Ortiz .- Oficina. (809)565-2811 Ext 6036/2010 / Cel. (829)962-9975</w:t>
            </w:r>
          </w:p>
          <w:p w14:paraId="1A97FB16" w14:textId="77777777" w:rsidR="00A22D74" w:rsidRPr="006A63E9" w:rsidRDefault="00322263" w:rsidP="008849EF">
            <w:r w:rsidRPr="006A63E9">
              <w:t xml:space="preserve">Correos.- </w:t>
            </w:r>
            <w:hyperlink r:id="rId7" w:history="1">
              <w:r w:rsidRPr="006A63E9">
                <w:rPr>
                  <w:color w:val="0000FF"/>
                  <w:u w:val="single"/>
                </w:rPr>
                <w:t>r.ortiz@mopc.gob.do</w:t>
              </w:r>
            </w:hyperlink>
            <w:r w:rsidRPr="006A63E9">
              <w:t xml:space="preserve"> / </w:t>
            </w:r>
            <w:hyperlink r:id="rId8" w:history="1">
              <w:r w:rsidRPr="006A63E9">
                <w:rPr>
                  <w:color w:val="0000FF"/>
                  <w:u w:val="single"/>
                </w:rPr>
                <w:t>rosymaggiolo@hotmail.com</w:t>
              </w:r>
            </w:hyperlink>
          </w:p>
          <w:p w14:paraId="53884552" w14:textId="77777777" w:rsidR="00A22D74" w:rsidRPr="006A63E9" w:rsidRDefault="00322263" w:rsidP="008849EF">
            <w:r w:rsidRPr="006A63E9">
              <w:t>Arq. Xiomara Almodóvar.- Oficina. (809)565-2811 Ext 9298 / Cel.(809)258-1529</w:t>
            </w:r>
          </w:p>
          <w:p w14:paraId="2DD83BD3" w14:textId="77777777" w:rsidR="00A22D74" w:rsidRPr="006A63E9" w:rsidRDefault="00322263" w:rsidP="008849EF">
            <w:pPr>
              <w:spacing w:after="120"/>
            </w:pPr>
            <w:r w:rsidRPr="006A63E9">
              <w:t xml:space="preserve">Correos: </w:t>
            </w:r>
            <w:hyperlink r:id="rId9" w:history="1">
              <w:r w:rsidRPr="006A63E9">
                <w:rPr>
                  <w:color w:val="0000FF"/>
                  <w:u w:val="single"/>
                </w:rPr>
                <w:t>x.almodovar@mopc.gob.do</w:t>
              </w:r>
            </w:hyperlink>
            <w:r w:rsidRPr="006A63E9">
              <w:t xml:space="preserve"> / </w:t>
            </w:r>
            <w:hyperlink r:id="rId10" w:history="1">
              <w:r w:rsidRPr="006A63E9">
                <w:rPr>
                  <w:color w:val="0000FF"/>
                  <w:u w:val="single"/>
                </w:rPr>
                <w:t>xiomaralmodovar@hotmail.com</w:t>
              </w:r>
            </w:hyperlink>
            <w:bookmarkEnd w:id="7"/>
          </w:p>
        </w:tc>
      </w:tr>
      <w:tr w:rsidR="00D011A5" w14:paraId="03F4D09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771CA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51E36" w14:textId="77777777" w:rsidR="00A52F73" w:rsidRPr="003A3E55" w:rsidRDefault="00322263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X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D011A5" w14:paraId="144B063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20112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00ACC" w14:textId="77777777" w:rsidR="00A52F73" w:rsidRPr="003A3E55" w:rsidRDefault="00322263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Cementos hidráulicos, incl. los cementos sin pulverizar "clinker", incl. coloreados (Código(s) del SA: 2523); Cementos, morteros, hormigones y preparaciones similares, refractarios, excepto los productos de la partida 38.01. (Código(s) del SA: 3816); Materiales de construcción (Código(s) de la ICS: 91.100)</w:t>
            </w:r>
            <w:bookmarkEnd w:id="22"/>
          </w:p>
        </w:tc>
      </w:tr>
      <w:tr w:rsidR="00D011A5" w14:paraId="6E1F1475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AE246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74CED" w14:textId="77777777" w:rsidR="00A52F73" w:rsidRPr="003A3E55" w:rsidRDefault="00322263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RT-101 REGLAMENTO TÉCNICO DE CEMENTOS HIDRÁULICOS; (18 página(s), en español)</w:t>
            </w:r>
            <w:bookmarkEnd w:id="24"/>
          </w:p>
        </w:tc>
      </w:tr>
      <w:tr w:rsidR="00D011A5" w14:paraId="2C2FFA0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60D027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1E478D" w14:textId="77777777" w:rsidR="00A52F73" w:rsidRPr="003A3E55" w:rsidRDefault="00322263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 xml:space="preserve">· Objetivo y campo de aplicación </w:t>
            </w:r>
          </w:p>
          <w:p w14:paraId="6EABCED3" w14:textId="77777777" w:rsidR="00AF251E" w:rsidRPr="003A3E55" w:rsidRDefault="00322263" w:rsidP="003A3E55">
            <w:pPr>
              <w:spacing w:before="120" w:after="120"/>
            </w:pPr>
            <w:r w:rsidRPr="003A3E55">
              <w:t>· Definiciones y notaciones</w:t>
            </w:r>
          </w:p>
          <w:p w14:paraId="502A765A" w14:textId="77777777" w:rsidR="00AF251E" w:rsidRPr="003A3E55" w:rsidRDefault="00322263" w:rsidP="003A3E55">
            <w:pPr>
              <w:spacing w:before="120" w:after="120"/>
            </w:pPr>
            <w:r w:rsidRPr="003A3E55">
              <w:t>· Especificaciones del producto</w:t>
            </w:r>
          </w:p>
          <w:p w14:paraId="080B44B9" w14:textId="77777777" w:rsidR="00AF251E" w:rsidRPr="003A3E55" w:rsidRDefault="00322263" w:rsidP="003A3E55">
            <w:pPr>
              <w:spacing w:before="120" w:after="120"/>
            </w:pPr>
            <w:r w:rsidRPr="003A3E55">
              <w:t>· Rotulado y empaque</w:t>
            </w:r>
          </w:p>
          <w:p w14:paraId="33582182" w14:textId="77777777" w:rsidR="00AF251E" w:rsidRPr="003A3E55" w:rsidRDefault="00322263" w:rsidP="003A3E55">
            <w:pPr>
              <w:spacing w:before="120" w:after="120"/>
            </w:pPr>
            <w:r w:rsidRPr="003A3E55">
              <w:t>· Almacenamiento y transporte</w:t>
            </w:r>
          </w:p>
          <w:p w14:paraId="570A49D3" w14:textId="77777777" w:rsidR="00AF251E" w:rsidRPr="003A3E55" w:rsidRDefault="00322263" w:rsidP="003A3E55">
            <w:pPr>
              <w:spacing w:before="120" w:after="120"/>
            </w:pPr>
            <w:r w:rsidRPr="003A3E55">
              <w:t>· Muestra de ensayo</w:t>
            </w:r>
          </w:p>
          <w:p w14:paraId="40BEF613" w14:textId="77777777" w:rsidR="00AF251E" w:rsidRPr="003A3E55" w:rsidRDefault="00322263" w:rsidP="003A3E55">
            <w:pPr>
              <w:spacing w:before="120" w:after="120"/>
            </w:pPr>
            <w:r w:rsidRPr="003A3E55">
              <w:t>· Requisitos de control de calidad</w:t>
            </w:r>
          </w:p>
          <w:p w14:paraId="78F3093F" w14:textId="77777777" w:rsidR="00AF251E" w:rsidRPr="003A3E55" w:rsidRDefault="00322263" w:rsidP="003A3E55">
            <w:pPr>
              <w:spacing w:before="120" w:after="120"/>
            </w:pPr>
            <w:r w:rsidRPr="003A3E55">
              <w:t>· Requisitos de laboratorios de ensayos</w:t>
            </w:r>
          </w:p>
          <w:p w14:paraId="1EB6A7A1" w14:textId="77777777" w:rsidR="00AF251E" w:rsidRPr="003A3E55" w:rsidRDefault="00322263" w:rsidP="003A3E55">
            <w:pPr>
              <w:spacing w:before="120" w:after="120"/>
            </w:pPr>
            <w:r w:rsidRPr="003A3E55">
              <w:t>· Evaluación de la conformidad</w:t>
            </w:r>
          </w:p>
          <w:p w14:paraId="60499B23" w14:textId="77777777" w:rsidR="00AF251E" w:rsidRPr="003A3E55" w:rsidRDefault="00322263" w:rsidP="003A3E55">
            <w:pPr>
              <w:spacing w:before="120" w:after="120"/>
            </w:pPr>
            <w:r>
              <w:tab/>
              <w:t>-</w:t>
            </w:r>
            <w:r w:rsidRPr="003A3E55">
              <w:t xml:space="preserve"> de las inspecciones oficiales</w:t>
            </w:r>
          </w:p>
          <w:p w14:paraId="02D16AC8" w14:textId="77777777" w:rsidR="00AF251E" w:rsidRPr="003A3E55" w:rsidRDefault="00322263" w:rsidP="003A3E55">
            <w:pPr>
              <w:spacing w:before="120" w:after="120"/>
            </w:pPr>
            <w:r>
              <w:lastRenderedPageBreak/>
              <w:tab/>
              <w:t>-</w:t>
            </w:r>
            <w:r w:rsidRPr="003A3E55">
              <w:t xml:space="preserve"> de la producción nacional</w:t>
            </w:r>
          </w:p>
          <w:p w14:paraId="36FA1EB3" w14:textId="77777777" w:rsidR="00AF251E" w:rsidRPr="003A3E55" w:rsidRDefault="00322263" w:rsidP="003A3E55">
            <w:pPr>
              <w:spacing w:before="120" w:after="120"/>
            </w:pPr>
            <w:r>
              <w:tab/>
              <w:t>-</w:t>
            </w:r>
            <w:r w:rsidRPr="003A3E55">
              <w:t xml:space="preserve"> de las importaciones</w:t>
            </w:r>
          </w:p>
          <w:p w14:paraId="34787AAB" w14:textId="77777777" w:rsidR="00AF251E" w:rsidRPr="003A3E55" w:rsidRDefault="00322263" w:rsidP="003A3E55">
            <w:pPr>
              <w:spacing w:before="120" w:after="120"/>
            </w:pPr>
            <w:r w:rsidRPr="003A3E55">
              <w:t>· Documentación requerida</w:t>
            </w:r>
          </w:p>
          <w:p w14:paraId="0D06C119" w14:textId="77777777" w:rsidR="00AF251E" w:rsidRPr="003A3E55" w:rsidRDefault="00322263" w:rsidP="003A3E55">
            <w:pPr>
              <w:spacing w:before="120" w:after="120"/>
            </w:pPr>
            <w:r w:rsidRPr="003A3E55">
              <w:t>· Procedimiento de las inspecciones oficiales</w:t>
            </w:r>
          </w:p>
          <w:p w14:paraId="572AA0CA" w14:textId="77777777" w:rsidR="00AF251E" w:rsidRPr="003A3E55" w:rsidRDefault="00322263" w:rsidP="003A3E55">
            <w:pPr>
              <w:spacing w:before="120" w:after="120"/>
            </w:pPr>
            <w:r w:rsidRPr="003A3E55">
              <w:t>· Criterios generales de aplicación</w:t>
            </w:r>
          </w:p>
          <w:p w14:paraId="196754E1" w14:textId="77777777" w:rsidR="00AF251E" w:rsidRPr="003A3E55" w:rsidRDefault="00322263" w:rsidP="003A3E55">
            <w:pPr>
              <w:spacing w:before="120" w:after="120"/>
            </w:pPr>
            <w:r w:rsidRPr="003A3E55">
              <w:t>· Disposiciones legales</w:t>
            </w:r>
            <w:bookmarkEnd w:id="26"/>
          </w:p>
        </w:tc>
      </w:tr>
      <w:tr w:rsidR="00D011A5" w14:paraId="3F41FCE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6D007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78A4F" w14:textId="77777777" w:rsidR="00A52F73" w:rsidRPr="003A3E55" w:rsidRDefault="00322263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Imperativos de seguridad nacional; Información al consumidor, Etiquetado; Prevención de prácticas que puedan inducir a error y protección del consumidor; Protección de la salud o seguridad humanas; Protección del medio ambiente; Prescripciones en materia de calidad</w:t>
            </w:r>
            <w:bookmarkEnd w:id="28"/>
          </w:p>
        </w:tc>
      </w:tr>
      <w:tr w:rsidR="00D011A5" w14:paraId="68020AD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EE0BC" w14:textId="77777777" w:rsidR="00A52F73" w:rsidRPr="003A3E55" w:rsidRDefault="00322263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07173" w14:textId="77777777" w:rsidR="00924FA9" w:rsidRPr="003A3E55" w:rsidRDefault="00322263" w:rsidP="00617B12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461D2ADC" w14:textId="77777777" w:rsidR="00A52F73" w:rsidRPr="003A3E55" w:rsidRDefault="00322263" w:rsidP="00617B12">
            <w:pPr>
              <w:spacing w:before="120" w:after="120"/>
            </w:pPr>
            <w:bookmarkStart w:id="30" w:name="sps9a"/>
            <w:r w:rsidRPr="003A3E55">
              <w:t>ASTM C511, Especificación estándar para cuartos de mezcla, gabinetes húmedos, cuartos húmedos y tanques de almacenamiento de agua utilizados en las pruebas de cementos y concretos hidráulicos, 2021, ASTM International. @• ASTM E 11, Especificación estándar para tamices de prueba y tamices de prueba de alambre tejido, 2020, ASTM International. @• ASTM C778, Especificación estándar para arena estándar, 2021, ASTM International. @• ASTM C150-2017, Especificación estándar para cemento Portland, 2017, ASTM International. @• ASTM C595-2018, Especificación estándar para cementos hidráulicos combinados, 2018, ASTM International. @• ASTM C1157-2011, Especificación de desempeño estándar para cemento hidráulico, 2011, ASTM International.</w:t>
            </w:r>
            <w:bookmarkEnd w:id="30"/>
          </w:p>
        </w:tc>
      </w:tr>
      <w:tr w:rsidR="00D011A5" w14:paraId="6D15C8FC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66E0E7" w14:textId="77777777" w:rsidR="00AF251E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CECEFD" w14:textId="77777777" w:rsidR="00AF251E" w:rsidRPr="003A3E55" w:rsidRDefault="00322263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Primer trimestre 2024</w:t>
            </w:r>
            <w:bookmarkEnd w:id="33"/>
          </w:p>
          <w:p w14:paraId="62E7AE47" w14:textId="77777777" w:rsidR="00AF251E" w:rsidRPr="003A3E55" w:rsidRDefault="00322263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6 meses después de su adopción</w:t>
            </w:r>
            <w:bookmarkEnd w:id="36"/>
          </w:p>
        </w:tc>
      </w:tr>
      <w:tr w:rsidR="00D011A5" w14:paraId="3E6E778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CC5AAA" w14:textId="77777777" w:rsidR="00A52F73" w:rsidRPr="003A3E55" w:rsidRDefault="00322263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F13FB" w14:textId="77777777" w:rsidR="00A52F73" w:rsidRPr="003A3E55" w:rsidRDefault="00322263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60 días a partir de la notificación</w:t>
            </w:r>
            <w:bookmarkEnd w:id="38"/>
          </w:p>
        </w:tc>
      </w:tr>
      <w:tr w:rsidR="00D011A5" w14:paraId="2CB22D25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2EEB31F5" w14:textId="77777777" w:rsidR="00A52F73" w:rsidRPr="003A3E55" w:rsidRDefault="00322263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0FE85049" w14:textId="77777777" w:rsidR="00A52F73" w:rsidRPr="003A3E55" w:rsidRDefault="00322263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40" w:name="sps13b"/>
            <w:r w:rsidRPr="003A3E55">
              <w:rPr>
                <w:b/>
              </w:rPr>
              <w:t> </w:t>
            </w:r>
            <w:bookmarkEnd w:id="40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5E5CB08C" w14:textId="77777777" w:rsidR="00AF251E" w:rsidRPr="003A3E55" w:rsidRDefault="00322263" w:rsidP="00AD2FD7">
            <w:pPr>
              <w:keepNext/>
              <w:keepLines/>
            </w:pPr>
            <w:r w:rsidRPr="003A3E55">
              <w:t>Servicio Nacional de Información sobre OTC</w:t>
            </w:r>
          </w:p>
          <w:p w14:paraId="24EDD542" w14:textId="77777777" w:rsidR="00AF251E" w:rsidRPr="003A3E55" w:rsidRDefault="00322263" w:rsidP="00AD2FD7">
            <w:pPr>
              <w:keepNext/>
              <w:keepLines/>
            </w:pPr>
            <w:r w:rsidRPr="003A3E55">
              <w:t>Viceministerio de Comercio Exterior (VICOMEX)</w:t>
            </w:r>
          </w:p>
          <w:p w14:paraId="531B1C1E" w14:textId="77777777" w:rsidR="00AF251E" w:rsidRPr="003A3E55" w:rsidRDefault="00322263" w:rsidP="00AD2FD7">
            <w:pPr>
              <w:keepNext/>
              <w:keepLines/>
            </w:pPr>
            <w:r w:rsidRPr="003A3E55">
              <w:t>Ministerio de Industria, Comercio y Mipymes (MICM)</w:t>
            </w:r>
          </w:p>
          <w:p w14:paraId="52128E41" w14:textId="77777777" w:rsidR="00AF251E" w:rsidRPr="003A3E55" w:rsidRDefault="00322263" w:rsidP="00AD2FD7">
            <w:pPr>
              <w:keepNext/>
              <w:keepLines/>
            </w:pPr>
            <w:r w:rsidRPr="003A3E55">
              <w:t>Avenida 27 de Febrero No. 306</w:t>
            </w:r>
          </w:p>
          <w:p w14:paraId="2CE827E9" w14:textId="77777777" w:rsidR="00AF251E" w:rsidRPr="003A3E55" w:rsidRDefault="00322263" w:rsidP="00AD2FD7">
            <w:pPr>
              <w:keepNext/>
              <w:keepLines/>
            </w:pPr>
            <w:r w:rsidRPr="003A3E55">
              <w:t>Torre MICM</w:t>
            </w:r>
          </w:p>
          <w:p w14:paraId="614FD662" w14:textId="77777777" w:rsidR="00AF251E" w:rsidRPr="003A3E55" w:rsidRDefault="00322263" w:rsidP="00AD2FD7">
            <w:pPr>
              <w:keepNext/>
              <w:keepLines/>
            </w:pPr>
            <w:r w:rsidRPr="003A3E55">
              <w:t>Bella Vista</w:t>
            </w:r>
          </w:p>
          <w:p w14:paraId="4EE0450B" w14:textId="77777777" w:rsidR="00AF251E" w:rsidRPr="003A3E55" w:rsidRDefault="00322263" w:rsidP="00AD2FD7">
            <w:pPr>
              <w:keepNext/>
              <w:keepLines/>
            </w:pPr>
            <w:r w:rsidRPr="003A3E55">
              <w:t>Tel: + (809)-685-5171</w:t>
            </w:r>
          </w:p>
          <w:p w14:paraId="0CC58FDD" w14:textId="77777777" w:rsidR="00AF251E" w:rsidRPr="003A3E55" w:rsidRDefault="00322263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1" w:history="1">
              <w:r w:rsidRPr="003A3E55">
                <w:rPr>
                  <w:color w:val="0000FF"/>
                  <w:u w:val="single"/>
                </w:rPr>
                <w:t>rdotc@micm.gob.do</w:t>
              </w:r>
            </w:hyperlink>
          </w:p>
          <w:p w14:paraId="122CD519" w14:textId="77777777" w:rsidR="00AF251E" w:rsidRPr="00FF1F1D" w:rsidRDefault="00322263" w:rsidP="00AD2FD7">
            <w:pPr>
              <w:keepNext/>
              <w:keepLines/>
              <w:rPr>
                <w:lang w:val="en-GB"/>
              </w:rPr>
            </w:pPr>
            <w:r w:rsidRPr="00FF1F1D">
              <w:rPr>
                <w:lang w:val="en-GB"/>
              </w:rPr>
              <w:t xml:space="preserve">Sitio web: </w:t>
            </w:r>
            <w:hyperlink r:id="rId12" w:tgtFrame="_blank" w:history="1">
              <w:r w:rsidRPr="00FF1F1D">
                <w:rPr>
                  <w:color w:val="0000FF"/>
                  <w:u w:val="single"/>
                  <w:lang w:val="en-GB"/>
                </w:rPr>
                <w:t>https://micm.gob.do</w:t>
              </w:r>
            </w:hyperlink>
          </w:p>
          <w:p w14:paraId="5CF7E251" w14:textId="77777777" w:rsidR="00AF251E" w:rsidRPr="00FF1F1D" w:rsidRDefault="002F2269" w:rsidP="00AD2FD7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lang w:val="en-GB"/>
              </w:rPr>
            </w:pPr>
            <w:hyperlink r:id="rId13" w:tgtFrame="_blank" w:history="1">
              <w:r w:rsidR="00322263" w:rsidRPr="00FF1F1D">
                <w:rPr>
                  <w:color w:val="0000FF"/>
                  <w:u w:val="single"/>
                  <w:lang w:val="en-GB"/>
                </w:rPr>
                <w:t>https://members.wto.org/crnattachments/2023/TBT/DOM/23_1664_00_s.pdf</w:t>
              </w:r>
            </w:hyperlink>
            <w:bookmarkEnd w:id="41"/>
          </w:p>
        </w:tc>
      </w:tr>
    </w:tbl>
    <w:p w14:paraId="4A7AB79D" w14:textId="77777777" w:rsidR="00AF251E" w:rsidRPr="00FF1F1D" w:rsidRDefault="00AF251E" w:rsidP="003A3E55">
      <w:pPr>
        <w:rPr>
          <w:lang w:val="en-GB"/>
        </w:rPr>
      </w:pPr>
    </w:p>
    <w:sectPr w:rsidR="00AF251E" w:rsidRPr="00FF1F1D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9ADB" w14:textId="77777777" w:rsidR="00F33D0E" w:rsidRDefault="00322263">
      <w:r>
        <w:separator/>
      </w:r>
    </w:p>
  </w:endnote>
  <w:endnote w:type="continuationSeparator" w:id="0">
    <w:p w14:paraId="6D93335B" w14:textId="77777777" w:rsidR="00F33D0E" w:rsidRDefault="0032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9296" w14:textId="77777777" w:rsidR="00B531D9" w:rsidRPr="003A3E55" w:rsidRDefault="00322263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C4A" w14:textId="77777777" w:rsidR="00DD65B2" w:rsidRPr="003A3E55" w:rsidRDefault="00322263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55A" w14:textId="77777777" w:rsidR="00DD65B2" w:rsidRPr="003A3E55" w:rsidRDefault="00322263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CD56" w14:textId="77777777" w:rsidR="00F33D0E" w:rsidRDefault="00322263">
      <w:r>
        <w:separator/>
      </w:r>
    </w:p>
  </w:footnote>
  <w:footnote w:type="continuationSeparator" w:id="0">
    <w:p w14:paraId="3F0B50F6" w14:textId="77777777" w:rsidR="00F33D0E" w:rsidRDefault="0032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2A81" w14:textId="77777777" w:rsidR="00B531D9" w:rsidRPr="003A3E55" w:rsidRDefault="00322263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38975CD9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D1BD56" w14:textId="77777777" w:rsidR="00B531D9" w:rsidRPr="003A3E55" w:rsidRDefault="00322263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0659512E" w14:textId="77777777"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CCDE" w14:textId="77777777" w:rsidR="00B531D9" w:rsidRPr="003A3E55" w:rsidRDefault="00322263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G/TBT/N/DOM/235</w:t>
    </w:r>
    <w:bookmarkEnd w:id="42"/>
  </w:p>
  <w:p w14:paraId="54D03970" w14:textId="77777777"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3860E4" w14:textId="77777777" w:rsidR="00B531D9" w:rsidRPr="003A3E55" w:rsidRDefault="00322263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34E9F78D" w14:textId="77777777"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D011A5" w14:paraId="3DF91105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B973DF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9EED0D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D011A5" w14:paraId="5C3E56E8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170ECC0E" w14:textId="77777777" w:rsidR="005D4F0E" w:rsidRPr="00674766" w:rsidRDefault="0032226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F239944" wp14:editId="03BB955B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69622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2DB6E365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D011A5" w14:paraId="1AE00FCD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5E98EB7B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B8EA86C" w14:textId="77777777" w:rsidR="00B531D9" w:rsidRPr="003A3E55" w:rsidRDefault="00322263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G/TBT/N/DOM/235</w:t>
          </w:r>
          <w:bookmarkEnd w:id="44"/>
        </w:p>
      </w:tc>
    </w:tr>
    <w:tr w:rsidR="00D011A5" w14:paraId="287C1587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20CAF9C6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DCF3A7" w14:textId="14B092F9" w:rsidR="005D4F0E" w:rsidRPr="00674766" w:rsidRDefault="00322263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10 de marzo de 2023</w:t>
          </w:r>
        </w:p>
      </w:tc>
    </w:tr>
    <w:tr w:rsidR="00D011A5" w14:paraId="3012607A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3B5296F0" w14:textId="665C8124" w:rsidR="005D4F0E" w:rsidRPr="00674766" w:rsidRDefault="00322263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23-</w:t>
          </w:r>
          <w:r w:rsidR="002F2269">
            <w:rPr>
              <w:color w:val="FF0000"/>
              <w:szCs w:val="18"/>
            </w:rPr>
            <w:t>1766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A75462F" w14:textId="77777777" w:rsidR="005D4F0E" w:rsidRPr="00674766" w:rsidRDefault="00322263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D011A5" w14:paraId="3B225EDF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C0BF545" w14:textId="77777777" w:rsidR="005D4F0E" w:rsidRPr="00674766" w:rsidRDefault="00322263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1CD46D1" w14:textId="77777777" w:rsidR="005D4F0E" w:rsidRPr="003A3E55" w:rsidRDefault="00322263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309E6B87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6AEE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AA76FA" w:tentative="1">
      <w:start w:val="1"/>
      <w:numFmt w:val="lowerLetter"/>
      <w:lvlText w:val="%2."/>
      <w:lvlJc w:val="left"/>
      <w:pPr>
        <w:ind w:left="1080" w:hanging="360"/>
      </w:pPr>
    </w:lvl>
    <w:lvl w:ilvl="2" w:tplc="EA962788" w:tentative="1">
      <w:start w:val="1"/>
      <w:numFmt w:val="lowerRoman"/>
      <w:lvlText w:val="%3."/>
      <w:lvlJc w:val="right"/>
      <w:pPr>
        <w:ind w:left="1800" w:hanging="180"/>
      </w:pPr>
    </w:lvl>
    <w:lvl w:ilvl="3" w:tplc="F5DE0C5E" w:tentative="1">
      <w:start w:val="1"/>
      <w:numFmt w:val="decimal"/>
      <w:lvlText w:val="%4."/>
      <w:lvlJc w:val="left"/>
      <w:pPr>
        <w:ind w:left="2520" w:hanging="360"/>
      </w:pPr>
    </w:lvl>
    <w:lvl w:ilvl="4" w:tplc="DB5E367A" w:tentative="1">
      <w:start w:val="1"/>
      <w:numFmt w:val="lowerLetter"/>
      <w:lvlText w:val="%5."/>
      <w:lvlJc w:val="left"/>
      <w:pPr>
        <w:ind w:left="3240" w:hanging="360"/>
      </w:pPr>
    </w:lvl>
    <w:lvl w:ilvl="5" w:tplc="5F6AD7C2" w:tentative="1">
      <w:start w:val="1"/>
      <w:numFmt w:val="lowerRoman"/>
      <w:lvlText w:val="%6."/>
      <w:lvlJc w:val="right"/>
      <w:pPr>
        <w:ind w:left="3960" w:hanging="180"/>
      </w:pPr>
    </w:lvl>
    <w:lvl w:ilvl="6" w:tplc="A4C6DC4E" w:tentative="1">
      <w:start w:val="1"/>
      <w:numFmt w:val="decimal"/>
      <w:lvlText w:val="%7."/>
      <w:lvlJc w:val="left"/>
      <w:pPr>
        <w:ind w:left="4680" w:hanging="360"/>
      </w:pPr>
    </w:lvl>
    <w:lvl w:ilvl="7" w:tplc="4F980050" w:tentative="1">
      <w:start w:val="1"/>
      <w:numFmt w:val="lowerLetter"/>
      <w:lvlText w:val="%8."/>
      <w:lvlJc w:val="left"/>
      <w:pPr>
        <w:ind w:left="5400" w:hanging="360"/>
      </w:pPr>
    </w:lvl>
    <w:lvl w:ilvl="8" w:tplc="45D6909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5847742">
    <w:abstractNumId w:val="8"/>
  </w:num>
  <w:num w:numId="2" w16cid:durableId="1218936743">
    <w:abstractNumId w:val="3"/>
  </w:num>
  <w:num w:numId="3" w16cid:durableId="586381271">
    <w:abstractNumId w:val="2"/>
  </w:num>
  <w:num w:numId="4" w16cid:durableId="171067333">
    <w:abstractNumId w:val="1"/>
  </w:num>
  <w:num w:numId="5" w16cid:durableId="877622237">
    <w:abstractNumId w:val="0"/>
  </w:num>
  <w:num w:numId="6" w16cid:durableId="1310598966">
    <w:abstractNumId w:val="12"/>
  </w:num>
  <w:num w:numId="7" w16cid:durableId="1006051581">
    <w:abstractNumId w:val="10"/>
  </w:num>
  <w:num w:numId="8" w16cid:durableId="1417291344">
    <w:abstractNumId w:val="13"/>
  </w:num>
  <w:num w:numId="9" w16cid:durableId="223181615">
    <w:abstractNumId w:val="9"/>
  </w:num>
  <w:num w:numId="10" w16cid:durableId="1244754236">
    <w:abstractNumId w:val="7"/>
  </w:num>
  <w:num w:numId="11" w16cid:durableId="1267155585">
    <w:abstractNumId w:val="6"/>
  </w:num>
  <w:num w:numId="12" w16cid:durableId="1805806035">
    <w:abstractNumId w:val="5"/>
  </w:num>
  <w:num w:numId="13" w16cid:durableId="890120610">
    <w:abstractNumId w:val="4"/>
  </w:num>
  <w:num w:numId="14" w16cid:durableId="1879858411">
    <w:abstractNumId w:val="11"/>
  </w:num>
  <w:num w:numId="15" w16cid:durableId="18224994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2F2269"/>
    <w:rsid w:val="00322263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B7142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1930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011A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33D0E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1F1D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B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ymaggiolo@hotmail.com" TargetMode="External"/><Relationship Id="rId13" Type="http://schemas.openxmlformats.org/officeDocument/2006/relationships/hyperlink" Target="https://members.wto.org/crnattachments/2023/TBT/DOM/23_1664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.ortiz@mopc.gob.do" TargetMode="External"/><Relationship Id="rId12" Type="http://schemas.openxmlformats.org/officeDocument/2006/relationships/hyperlink" Target="https://micm.gob.d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otc@micm.gob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xiomaralmodovar@hot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x.almodovar@mopc.gob.do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2023-03-08T10:56:00Z</dcterms:created>
  <dcterms:modified xsi:type="dcterms:W3CDTF">2023-03-09T15:41:00Z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