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7AF9" w14:textId="77777777" w:rsidR="00337943" w:rsidRPr="00BA3BB5" w:rsidRDefault="00CD68FA" w:rsidP="00BA3BB5">
      <w:pPr>
        <w:pStyle w:val="Titr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2F468F7B" w14:textId="77777777" w:rsidR="00337943" w:rsidRPr="00BA3BB5" w:rsidRDefault="00CD68FA" w:rsidP="00BA3BB5">
      <w:pPr>
        <w:pStyle w:val="Title3"/>
      </w:pPr>
      <w:r w:rsidRPr="00BA3BB5">
        <w:t>Revisión</w:t>
      </w:r>
    </w:p>
    <w:p w14:paraId="40FB202D" w14:textId="77777777" w:rsidR="00337943" w:rsidRPr="00BA3BB5" w:rsidRDefault="00CD68FA" w:rsidP="00BA3BB5">
      <w:pPr>
        <w:jc w:val="center"/>
      </w:pPr>
      <w:r w:rsidRPr="00BA3BB5">
        <w:t>Se da traslado de la notificación siguiente de conformidad con el artículo 10.6.</w:t>
      </w:r>
    </w:p>
    <w:p w14:paraId="7D0E248D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B96BCC" w14:paraId="46EF1335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229D3CFF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539BB36" w14:textId="77777777" w:rsidR="006652E6" w:rsidRPr="00BA3BB5" w:rsidRDefault="00CD68FA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12CFBF6A" w14:textId="77777777" w:rsidR="006652E6" w:rsidRPr="00BA3BB5" w:rsidRDefault="00CD68FA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B96BCC" w14:paraId="34C3AED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0BFF4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0DC77" w14:textId="77777777" w:rsidR="006652E6" w:rsidRPr="00BA3BB5" w:rsidRDefault="00CD68FA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75669F7D" w14:textId="77777777" w:rsidR="0082438A" w:rsidRPr="00BA3BB5" w:rsidRDefault="00CD68FA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7D016B94" w14:textId="77777777" w:rsidR="006652E6" w:rsidRPr="00BA3BB5" w:rsidRDefault="00CD68FA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3A88FFA2" w14:textId="77777777" w:rsidR="0082438A" w:rsidRPr="00BA3BB5" w:rsidRDefault="00CD68FA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B96BCC" w14:paraId="50E63DB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812ED" w14:textId="77777777" w:rsidR="006652E6" w:rsidRPr="00BA3BB5" w:rsidRDefault="00CD68F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AE23F" w14:textId="77777777" w:rsidR="006652E6" w:rsidRPr="00BA3BB5" w:rsidRDefault="00CD68FA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 xml:space="preserve">], 2.10.1 </w:t>
            </w:r>
            <w:proofErr w:type="gramStart"/>
            <w:r w:rsidRPr="00BA3BB5">
              <w:rPr>
                <w:b/>
              </w:rPr>
              <w:t>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</w:t>
            </w:r>
            <w:proofErr w:type="gramEnd"/>
            <w:r w:rsidRPr="00BA3BB5">
              <w:rPr>
                <w:b/>
              </w:rPr>
              <w:t>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B96BCC" w14:paraId="721515C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968A0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F7F57" w14:textId="77777777" w:rsidR="006652E6" w:rsidRPr="00BA3BB5" w:rsidRDefault="00CD68FA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</w:t>
            </w:r>
            <w:proofErr w:type="gramStart"/>
            <w:r w:rsidRPr="00BA3BB5">
              <w:rPr>
                <w:b/>
              </w:rPr>
              <w:t>indicarse</w:t>
            </w:r>
            <w:proofErr w:type="gramEnd"/>
            <w:r w:rsidRPr="00BA3BB5">
              <w:rPr>
                <w:b/>
              </w:rPr>
              <w:t xml:space="preserve">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Triciclos, patinetes, coches de pedal y juguetes similares con ruedas; coches y sillas de ruedas para muñecas o muñecos; muñecas o muñecos; los demás juguetes; modelos reducidos y modelos similares, para entretenimiento, incluso animados; rompecabezas de cualquier clase (HS 9503)</w:t>
            </w:r>
            <w:bookmarkStart w:id="10" w:name="sps3a"/>
            <w:bookmarkEnd w:id="10"/>
          </w:p>
        </w:tc>
      </w:tr>
      <w:tr w:rsidR="00B96BCC" w14:paraId="49B4854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25A93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9920B" w14:textId="77777777" w:rsidR="006652E6" w:rsidRPr="00BA3BB5" w:rsidRDefault="00CD68FA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Revisión del Reglamento Técnico Ecuatoriano PRTE INEN 089 (1R) "Seguridad de los Juguetes" (10 página(s), en </w:t>
            </w:r>
            <w:proofErr w:type="gramStart"/>
            <w:r w:rsidR="009543A1" w:rsidRPr="007576A1">
              <w:t>Español</w:t>
            </w:r>
            <w:proofErr w:type="gramEnd"/>
            <w:r w:rsidR="009543A1" w:rsidRPr="007576A1">
              <w:t>)</w:t>
            </w:r>
            <w:bookmarkStart w:id="11" w:name="sps5a"/>
            <w:bookmarkEnd w:id="11"/>
          </w:p>
        </w:tc>
      </w:tr>
      <w:tr w:rsidR="00B96BCC" w14:paraId="4598B4C0" w14:textId="77777777" w:rsidTr="00CD68FA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9504E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A8891" w14:textId="77777777" w:rsidR="006652E6" w:rsidRPr="00BA3BB5" w:rsidRDefault="00CD68FA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juguetes, previamente a la comercialización de productos nacionales e importados, con el propósito de proteger la seguridad y salud de las personas, así como prevenir prácticas que puedan inducir a error.</w:t>
            </w:r>
          </w:p>
          <w:p w14:paraId="2C96006A" w14:textId="77777777" w:rsidR="009543A1" w:rsidRPr="007576A1" w:rsidRDefault="00CD68FA" w:rsidP="00BA3BB5">
            <w:pPr>
              <w:spacing w:after="120"/>
            </w:pPr>
            <w:r w:rsidRPr="007576A1">
              <w:t>Este reglamento técnico se aplica a los productos: Juguetes destinados a ser utilizados por niños de edad inferior a los 14 años.</w:t>
            </w:r>
          </w:p>
          <w:p w14:paraId="119A9EE7" w14:textId="77777777" w:rsidR="009543A1" w:rsidRPr="007576A1" w:rsidRDefault="00CD68FA" w:rsidP="00BA3BB5">
            <w:pPr>
              <w:spacing w:after="120"/>
            </w:pPr>
            <w:r w:rsidRPr="007576A1">
              <w:t>Este reglamento técnico no aplica a:</w:t>
            </w:r>
          </w:p>
          <w:p w14:paraId="73CEC6D3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Equipamiento para patios infantiles destinado a un uso público y domésticos</w:t>
            </w:r>
          </w:p>
          <w:p w14:paraId="5EAE94B8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Máquinas de juego automáticas, funcionen o no con moneda, destinadas a un uso público</w:t>
            </w:r>
          </w:p>
          <w:p w14:paraId="6A8C51A6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Vehículos de juguete equipados con motores de combustión</w:t>
            </w:r>
          </w:p>
          <w:p w14:paraId="24254258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Motores de vapor de juguete</w:t>
            </w:r>
          </w:p>
          <w:p w14:paraId="446EF92B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Hondas y tirachinas</w:t>
            </w:r>
          </w:p>
          <w:p w14:paraId="7059C03C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Objetos decorativos para actos festivos y celebraciones</w:t>
            </w:r>
          </w:p>
          <w:p w14:paraId="3E30A0ED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para coleccionistas adultos, a condición de que los productos o su embalaje lleven una indicación visible y legible de que están destinados a coleccionistas no menores de 14 años.</w:t>
            </w:r>
          </w:p>
          <w:p w14:paraId="6A9A89EC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Equipos deportivos, incluidos los patines de ruedas, los patines en línea y los monopatines para niños con una masa corporal superior a 20 kg</w:t>
            </w:r>
          </w:p>
          <w:p w14:paraId="45AA1D2B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Bicicletas con una altura máxima de sillín superior a 435 mm, medida como la distancia vertical entre el suelo y el punto más alto de la superficie del sillín, con el sillín colocado en posición horizontal y la tija en la marca inferior</w:t>
            </w:r>
          </w:p>
          <w:p w14:paraId="2A2DCCD2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 xml:space="preserve">Patinetes y otros medios de transporte diseñados para el deporte o destinados a utilizarse en </w:t>
            </w:r>
            <w:proofErr w:type="gramStart"/>
            <w:r w:rsidRPr="007576A1">
              <w:t>vías públicas o caminos públicos</w:t>
            </w:r>
            <w:proofErr w:type="gramEnd"/>
          </w:p>
          <w:p w14:paraId="3A1751BB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proofErr w:type="gramStart"/>
            <w:r w:rsidRPr="007576A1">
              <w:t>Vehículos eléctricos destinados a utilizarse</w:t>
            </w:r>
            <w:proofErr w:type="gramEnd"/>
            <w:r w:rsidRPr="007576A1">
              <w:t xml:space="preserve"> en vías públicas, caminos públicos o sus aceras</w:t>
            </w:r>
          </w:p>
          <w:p w14:paraId="2BA74AAD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proofErr w:type="gramStart"/>
            <w:r w:rsidRPr="007576A1">
              <w:t>Equipo acuático destinado a utilizarse</w:t>
            </w:r>
            <w:proofErr w:type="gramEnd"/>
            <w:r w:rsidRPr="007576A1">
              <w:t xml:space="preserve"> en aguas profundas y accesorios para aprender a nadar para niños, como flotadores de asiento y artículos de ayuda para nadar</w:t>
            </w:r>
          </w:p>
          <w:p w14:paraId="4BE89D39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Rompecabezas de más de 500 piezas</w:t>
            </w:r>
          </w:p>
          <w:p w14:paraId="35E46D66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Armas y pistolas de gas comprimido, salvo las armas y pistolas de agua.</w:t>
            </w:r>
          </w:p>
          <w:p w14:paraId="1745A5CB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Arcos de tiro de más de 120 cm de largo</w:t>
            </w:r>
          </w:p>
          <w:p w14:paraId="65F61803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Fuegos artificiales, incluidos las cápsulas fulminantes que no están diseñadas específicamente para juguetes</w:t>
            </w:r>
          </w:p>
          <w:p w14:paraId="2D041EEE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y juegos que utilizan proyectiles puntiagudos, como conjuntos de dardos con puntas metálicas</w:t>
            </w:r>
          </w:p>
          <w:p w14:paraId="12236343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educativos funcionales, como hornos eléctricos, planchas u otros productos funcionales cuya tensión nominal supere 24 V vendidos exclusivamente con fines educativos bajo la supervisión de adultos</w:t>
            </w:r>
          </w:p>
          <w:p w14:paraId="72A3A9CC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Productos destinados a utilizarse con fines pedagógicos, como equipo científico, en colegios y otros contextos educativos bajo la vigilancia de instructores adultos</w:t>
            </w:r>
          </w:p>
          <w:p w14:paraId="0BB5FA9D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Equipo electrónico, como ordenadores personales y consolas de juego, utilizado para acceder a software interactivo y sus periféricos asociados, si el equipo electrónico o los periféricos asociados no están diseñados y destinados específicamente para niños y tienen un valor lúdico de por sí, como los ordenadores personales de diseño especial, los teclados, las palancas de mando o los volantes</w:t>
            </w:r>
          </w:p>
          <w:p w14:paraId="5F5C041E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lastRenderedPageBreak/>
              <w:t>Software interactivo destinado al ocio y el entretenimiento, como los juegos de ordenador y sus soportes de almacenamiento, por ejemplo, los CD</w:t>
            </w:r>
          </w:p>
          <w:p w14:paraId="6816DDBE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Chupetes para bebés</w:t>
            </w:r>
          </w:p>
          <w:p w14:paraId="5045C2F9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Lámparas atractivas para los niños</w:t>
            </w:r>
          </w:p>
          <w:p w14:paraId="1F55BB74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Transformadores eléctricos para juguetes</w:t>
            </w:r>
          </w:p>
          <w:p w14:paraId="37050152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Accesorios de moda para niños que no están destinados al juego</w:t>
            </w:r>
          </w:p>
          <w:p w14:paraId="561078C2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Equipamiento de protección personal, incluidos los elementos que ayudan a la flotación, como los manguitos y los flotadores con asiento y las gafas de natación, gafas de sol y otros protectores oculares, así como los cascos para bicicletas y monopatines</w:t>
            </w:r>
          </w:p>
          <w:p w14:paraId="50F59FBD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Artículos y equipamiento deportivo, artículos de acampar, equipamiento para atletismo, muebles e instrumentos musicales; sin embargo, se incluyen sus imitaciones de juguete</w:t>
            </w:r>
          </w:p>
          <w:p w14:paraId="79FDF9C3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Juguetes instalados en lugares públicos (por ejemplo, salas de juegos y centros comerciales)</w:t>
            </w:r>
          </w:p>
          <w:p w14:paraId="1F63A175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Bisutería para niños</w:t>
            </w:r>
          </w:p>
          <w:p w14:paraId="4C35C378" w14:textId="77777777" w:rsidR="009543A1" w:rsidRPr="007576A1" w:rsidRDefault="00CD68FA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Este reglamento técnico ecuatoriano no cubre los aspectos sobre seguridad eléctrica de los juguetes.</w:t>
            </w:r>
          </w:p>
        </w:tc>
      </w:tr>
      <w:tr w:rsidR="00B96BCC" w14:paraId="3A73184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01A5" w14:textId="77777777" w:rsidR="006652E6" w:rsidRPr="00BA3BB5" w:rsidRDefault="00CD68F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ACCE4" w14:textId="77777777" w:rsidR="006652E6" w:rsidRPr="00BA3BB5" w:rsidRDefault="00CD68FA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B96BCC" w:rsidRPr="00965554" w14:paraId="5FAD2E1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72046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E1E62" w14:textId="77777777" w:rsidR="006652E6" w:rsidRPr="00BA3BB5" w:rsidRDefault="00CD68FA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u w:val="single"/>
              </w:rPr>
              <w:t>Referencias Normativas:</w:t>
            </w:r>
          </w:p>
          <w:p w14:paraId="6B80604E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 – Parte 1. Programas de muestreo clasificados por el nivel aceptable de calidad (AQL) para inspección lote a lote.</w:t>
            </w:r>
          </w:p>
          <w:p w14:paraId="36FB6DD9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8124-1:2018, Seguridad de los juguetes – Parte 1: Aspectos relacionados con las propiedades mecánicas y físicas.</w:t>
            </w:r>
          </w:p>
          <w:p w14:paraId="66B1EBAE" w14:textId="77777777" w:rsidR="009543A1" w:rsidRPr="00965554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>ISO 8124-1:2018/Amd. 1:2020, Safety of toys — Part 1: Safety aspects related to mechanical and physical properties — Amendment 1: Flying toys.</w:t>
            </w:r>
          </w:p>
          <w:p w14:paraId="52AB67D9" w14:textId="77777777" w:rsidR="009543A1" w:rsidRPr="00965554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>ISO 8124-1:2018/Amd. 2:2020, Safety of toys — Part 1: Safety aspects related to mechanical and physical properties — Amendment 2: Various.</w:t>
            </w:r>
          </w:p>
          <w:p w14:paraId="14BBD06B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8124-2:2014, Seguridad de los juguetes – Parte 2: Inflamabilidad.</w:t>
            </w:r>
          </w:p>
          <w:p w14:paraId="04375185" w14:textId="77777777" w:rsidR="009543A1" w:rsidRPr="00965554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>Norma ISO 8124-3: 2020, Safety of toys — Part 3: Migration of certain elements.</w:t>
            </w:r>
          </w:p>
          <w:p w14:paraId="593F1B14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calibración.</w:t>
            </w:r>
          </w:p>
          <w:p w14:paraId="64FEBE35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17050-1:2004, Evaluación de la Conformidad – Declaración de la conformidad del proveedor. Parte 1: Requisitos </w:t>
            </w:r>
            <w:proofErr w:type="gramStart"/>
            <w:r w:rsidRPr="004579AE">
              <w:t>Generales.-</w:t>
            </w:r>
            <w:proofErr w:type="gramEnd"/>
          </w:p>
          <w:p w14:paraId="1BD3DF55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17067:2013, Evaluación de la conformidad – Fundamentos de certificación de productos y directrices aplicables a los esquemas de certificación de producto.</w:t>
            </w:r>
          </w:p>
          <w:p w14:paraId="2A2B7ED2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71-1:2014+A1:2018, Seguridad de los juguetes – Parte 1. Propiedades mecánicas y físicas.</w:t>
            </w:r>
          </w:p>
          <w:p w14:paraId="61AD07F1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71-2:2011+A1:2014, Seguridad de los juguetes. Inflamabilidad.</w:t>
            </w:r>
          </w:p>
          <w:p w14:paraId="46169798" w14:textId="77777777" w:rsidR="009543A1" w:rsidRPr="00965554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>Norma EN 71-3:2019, Safety of toys - Part 3: Migration of certain elements.</w:t>
            </w:r>
          </w:p>
          <w:p w14:paraId="6BC28366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EN 71-4:2013, Seguridad de los juguetes. Juegos de experimentos químicos y actividades relacionadas.</w:t>
            </w:r>
          </w:p>
          <w:p w14:paraId="2037D073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lastRenderedPageBreak/>
              <w:t>Norma EN 71-5:2015, Seguridad de los juguetes – Parte 5. Juegos químicos distintos de los juegos de experimentos.</w:t>
            </w:r>
          </w:p>
          <w:p w14:paraId="184490F0" w14:textId="77777777" w:rsidR="009543A1" w:rsidRPr="004579AE" w:rsidRDefault="00CD68FA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ASTM F963-17:2017, Standard</w:t>
            </w:r>
          </w:p>
          <w:p w14:paraId="197913C4" w14:textId="77777777" w:rsidR="009543A1" w:rsidRPr="004579AE" w:rsidRDefault="00CD68FA" w:rsidP="009E4AEC">
            <w:pPr>
              <w:spacing w:after="120"/>
            </w:pPr>
            <w:r w:rsidRPr="004579AE">
              <w:rPr>
                <w:u w:val="single"/>
              </w:rPr>
              <w:t>Trazabilidad:</w:t>
            </w:r>
          </w:p>
          <w:p w14:paraId="54F8121B" w14:textId="77777777" w:rsidR="009543A1" w:rsidRPr="004579AE" w:rsidRDefault="00CD68FA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G/TBT/N/ECU/408</w:t>
            </w:r>
          </w:p>
          <w:p w14:paraId="4BDB6FB9" w14:textId="77777777" w:rsidR="009543A1" w:rsidRPr="00965554" w:rsidRDefault="00CD68FA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>G/TBT/N/ECU/408/Rev.1</w:t>
            </w:r>
          </w:p>
          <w:p w14:paraId="3C59E4D9" w14:textId="77777777" w:rsidR="009543A1" w:rsidRPr="00965554" w:rsidRDefault="00CD68FA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lang w:val="en-GB"/>
              </w:rPr>
            </w:pPr>
            <w:r w:rsidRPr="00965554">
              <w:rPr>
                <w:lang w:val="en-GB"/>
              </w:rPr>
              <w:t xml:space="preserve">G/TBT/N/ECU/408/Rev.1/Add.1 </w:t>
            </w:r>
          </w:p>
        </w:tc>
      </w:tr>
      <w:tr w:rsidR="00B96BCC" w14:paraId="234A8F9D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E6A0C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71697" w14:textId="77777777" w:rsidR="006652E6" w:rsidRPr="00BA3BB5" w:rsidRDefault="00CD68FA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60 días a partir de la notificación.</w:t>
            </w:r>
            <w:bookmarkEnd w:id="14"/>
          </w:p>
          <w:p w14:paraId="0EBA7C98" w14:textId="77777777" w:rsidR="006652E6" w:rsidRPr="00BA3BB5" w:rsidRDefault="00CD68FA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B96BCC" w14:paraId="250C353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43CF1" w14:textId="77777777" w:rsidR="006652E6" w:rsidRPr="00BA3BB5" w:rsidRDefault="00CD68F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2F19F" w14:textId="77777777" w:rsidR="006652E6" w:rsidRPr="00BA3BB5" w:rsidRDefault="00CD68FA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60 días desde la notificación</w:t>
            </w:r>
            <w:bookmarkStart w:id="17" w:name="sps12a"/>
            <w:bookmarkEnd w:id="17"/>
          </w:p>
        </w:tc>
      </w:tr>
      <w:tr w:rsidR="00B96BCC" w14:paraId="36A07C50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606200ED" w14:textId="77777777" w:rsidR="006652E6" w:rsidRPr="00BA3BB5" w:rsidRDefault="00CD68FA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2ACA79A9" w14:textId="77777777" w:rsidR="006652E6" w:rsidRPr="00BA3BB5" w:rsidRDefault="00CD68FA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34AA2203" w14:textId="77777777" w:rsidR="0082438A" w:rsidRPr="004579AE" w:rsidRDefault="00CD68FA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7DE789DA" w14:textId="77777777" w:rsidR="0082438A" w:rsidRPr="004579AE" w:rsidRDefault="00965554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CD68FA" w:rsidRPr="004579AE">
                <w:rPr>
                  <w:bCs/>
                  <w:color w:val="0000FF"/>
                  <w:u w:val="single"/>
                </w:rPr>
                <w:t>https://members.wto.org/crnattachments/2021/TBT/ECU/21_2507_00_s.pdf</w:t>
              </w:r>
            </w:hyperlink>
            <w:bookmarkEnd w:id="19"/>
          </w:p>
        </w:tc>
      </w:tr>
    </w:tbl>
    <w:p w14:paraId="45CDD650" w14:textId="77777777" w:rsidR="009543A1" w:rsidRPr="00BA3BB5" w:rsidRDefault="009543A1" w:rsidP="002D7B04"/>
    <w:sectPr w:rsidR="009543A1" w:rsidRPr="00BA3BB5" w:rsidSect="002D7B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C095" w14:textId="77777777" w:rsidR="006616F4" w:rsidRDefault="00CD68FA">
      <w:r>
        <w:separator/>
      </w:r>
    </w:p>
  </w:endnote>
  <w:endnote w:type="continuationSeparator" w:id="0">
    <w:p w14:paraId="4D0F9846" w14:textId="77777777" w:rsidR="006616F4" w:rsidRDefault="00CD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818E" w14:textId="77777777" w:rsidR="00CF3AAF" w:rsidRPr="00BA3BB5" w:rsidRDefault="00CD68FA" w:rsidP="00CF3AAF">
    <w:pPr>
      <w:pStyle w:val="Pieddepage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8E52" w14:textId="77777777" w:rsidR="00DD65B2" w:rsidRPr="00BA3BB5" w:rsidRDefault="00CD68FA" w:rsidP="00337943">
    <w:pPr>
      <w:pStyle w:val="Pieddepage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0BA9" w14:textId="77777777" w:rsidR="00DD65B2" w:rsidRPr="00BA3BB5" w:rsidRDefault="00CD68FA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9F52" w14:textId="77777777" w:rsidR="006616F4" w:rsidRDefault="00CD68FA">
      <w:r>
        <w:separator/>
      </w:r>
    </w:p>
  </w:footnote>
  <w:footnote w:type="continuationSeparator" w:id="0">
    <w:p w14:paraId="3AC7800C" w14:textId="77777777" w:rsidR="006616F4" w:rsidRDefault="00CD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1799" w14:textId="77777777" w:rsidR="00CF3AAF" w:rsidRPr="00BA3BB5" w:rsidRDefault="00CD68FA" w:rsidP="00CF3A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0CEC378E" w14:textId="77777777" w:rsidR="00CF3AAF" w:rsidRPr="00BA3BB5" w:rsidRDefault="00CF3AAF" w:rsidP="00CF3A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1BF66F" w14:textId="77777777" w:rsidR="00CF3AAF" w:rsidRPr="00BA3BB5" w:rsidRDefault="00CD68FA" w:rsidP="00CF3AA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4C9F4D7" w14:textId="77777777" w:rsidR="00CF3AAF" w:rsidRPr="00BA3BB5" w:rsidRDefault="00CF3AAF" w:rsidP="00CF3AA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1AEE" w14:textId="77777777" w:rsidR="00337943" w:rsidRPr="00965554" w:rsidRDefault="00CD68FA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965554">
      <w:rPr>
        <w:lang w:val="en-GB"/>
      </w:rPr>
      <w:t>G/TBT/N/ECU/408/Rev.2</w:t>
    </w:r>
    <w:bookmarkEnd w:id="20"/>
  </w:p>
  <w:p w14:paraId="4F4CD69B" w14:textId="77777777" w:rsidR="00337943" w:rsidRPr="00965554" w:rsidRDefault="00337943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1D1D059" w14:textId="77777777" w:rsidR="00337943" w:rsidRPr="00BA3BB5" w:rsidRDefault="00CD68FA" w:rsidP="003379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7932D094" w14:textId="77777777" w:rsidR="00DD65B2" w:rsidRPr="00BA3BB5" w:rsidRDefault="00DD65B2" w:rsidP="003379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96BCC" w14:paraId="6EF415F9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628C5BC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36B616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B96BCC" w14:paraId="5815FA68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4FBE333" w14:textId="77777777" w:rsidR="005D4F0E" w:rsidRPr="00337943" w:rsidRDefault="00CD68F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A78AA03" wp14:editId="721F0B7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00738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E47EB2C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B96BCC" w:rsidRPr="00965554" w14:paraId="1EA6DC0A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E3458B2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93B9A9B" w14:textId="77777777" w:rsidR="00337943" w:rsidRPr="00965554" w:rsidRDefault="00CD68FA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965554">
            <w:rPr>
              <w:b/>
              <w:szCs w:val="18"/>
              <w:lang w:val="en-GB"/>
            </w:rPr>
            <w:t>G/TBT/N/ECU/408/Rev.2</w:t>
          </w:r>
          <w:bookmarkEnd w:id="22"/>
        </w:p>
      </w:tc>
    </w:tr>
    <w:tr w:rsidR="00B96BCC" w14:paraId="0807F865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2543A29" w14:textId="77777777" w:rsidR="005D4F0E" w:rsidRPr="00965554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47F827" w14:textId="4461A0DC" w:rsidR="005D4F0E" w:rsidRPr="00337943" w:rsidRDefault="00E3173C" w:rsidP="005D4F0E">
          <w:pPr>
            <w:jc w:val="right"/>
            <w:rPr>
              <w:szCs w:val="18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</w:rPr>
            <w:t>8 de abril de 2021</w:t>
          </w:r>
        </w:p>
      </w:tc>
    </w:tr>
    <w:tr w:rsidR="00B96BCC" w14:paraId="5209117A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4D0E76D" w14:textId="6C0E8CCF" w:rsidR="005D4F0E" w:rsidRPr="00337943" w:rsidRDefault="00CD68FA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 w:rsidR="00E3173C">
            <w:rPr>
              <w:color w:val="FF0000"/>
              <w:szCs w:val="18"/>
            </w:rPr>
            <w:t>21-</w:t>
          </w:r>
          <w:r w:rsidR="00965554">
            <w:rPr>
              <w:color w:val="FF0000"/>
              <w:szCs w:val="18"/>
            </w:rPr>
            <w:t>2908</w:t>
          </w:r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D4B04EF" w14:textId="77777777" w:rsidR="005D4F0E" w:rsidRPr="00337943" w:rsidRDefault="00CD68FA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B96BCC" w14:paraId="09F6813D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0F04831" w14:textId="77777777" w:rsidR="005D4F0E" w:rsidRPr="00337943" w:rsidRDefault="00CD68FA">
          <w:pPr>
            <w:jc w:val="left"/>
            <w:rPr>
              <w:szCs w:val="18"/>
            </w:rPr>
          </w:pPr>
          <w:bookmarkStart w:id="28" w:name="bmkCommittee"/>
          <w:r w:rsidRPr="00BA3BB5"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D0E5598" w14:textId="77777777" w:rsidR="005D4F0E" w:rsidRPr="00BA3BB5" w:rsidRDefault="00CD68FA">
          <w:pPr>
            <w:jc w:val="right"/>
            <w:rPr>
              <w:bCs/>
              <w:szCs w:val="18"/>
            </w:rPr>
          </w:pPr>
          <w:bookmarkStart w:id="29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0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29"/>
        </w:p>
      </w:tc>
    </w:tr>
  </w:tbl>
  <w:p w14:paraId="50C8AC8B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EC59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228F7C" w:tentative="1">
      <w:start w:val="1"/>
      <w:numFmt w:val="lowerLetter"/>
      <w:lvlText w:val="%2."/>
      <w:lvlJc w:val="left"/>
      <w:pPr>
        <w:ind w:left="1080" w:hanging="360"/>
      </w:pPr>
    </w:lvl>
    <w:lvl w:ilvl="2" w:tplc="247622D0" w:tentative="1">
      <w:start w:val="1"/>
      <w:numFmt w:val="lowerRoman"/>
      <w:lvlText w:val="%3."/>
      <w:lvlJc w:val="right"/>
      <w:pPr>
        <w:ind w:left="1800" w:hanging="180"/>
      </w:pPr>
    </w:lvl>
    <w:lvl w:ilvl="3" w:tplc="EE6EB15E" w:tentative="1">
      <w:start w:val="1"/>
      <w:numFmt w:val="decimal"/>
      <w:lvlText w:val="%4."/>
      <w:lvlJc w:val="left"/>
      <w:pPr>
        <w:ind w:left="2520" w:hanging="360"/>
      </w:pPr>
    </w:lvl>
    <w:lvl w:ilvl="4" w:tplc="033C669C" w:tentative="1">
      <w:start w:val="1"/>
      <w:numFmt w:val="lowerLetter"/>
      <w:lvlText w:val="%5."/>
      <w:lvlJc w:val="left"/>
      <w:pPr>
        <w:ind w:left="3240" w:hanging="360"/>
      </w:pPr>
    </w:lvl>
    <w:lvl w:ilvl="5" w:tplc="FBFECF28" w:tentative="1">
      <w:start w:val="1"/>
      <w:numFmt w:val="lowerRoman"/>
      <w:lvlText w:val="%6."/>
      <w:lvlJc w:val="right"/>
      <w:pPr>
        <w:ind w:left="3960" w:hanging="180"/>
      </w:pPr>
    </w:lvl>
    <w:lvl w:ilvl="6" w:tplc="D136C3D2" w:tentative="1">
      <w:start w:val="1"/>
      <w:numFmt w:val="decimal"/>
      <w:lvlText w:val="%7."/>
      <w:lvlJc w:val="left"/>
      <w:pPr>
        <w:ind w:left="4680" w:hanging="360"/>
      </w:pPr>
    </w:lvl>
    <w:lvl w:ilvl="7" w:tplc="F2EE2CE6" w:tentative="1">
      <w:start w:val="1"/>
      <w:numFmt w:val="lowerLetter"/>
      <w:lvlText w:val="%8."/>
      <w:lvlJc w:val="left"/>
      <w:pPr>
        <w:ind w:left="5400" w:hanging="360"/>
      </w:pPr>
    </w:lvl>
    <w:lvl w:ilvl="8" w:tplc="F418CF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809F2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16F4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438A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65554"/>
    <w:rsid w:val="009A0D78"/>
    <w:rsid w:val="009B1435"/>
    <w:rsid w:val="009C363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96BCC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D68FA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3173C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727F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3BB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BA3BB5"/>
    <w:rPr>
      <w:szCs w:val="20"/>
    </w:rPr>
  </w:style>
  <w:style w:type="character" w:customStyle="1" w:styleId="NotedefinCar">
    <w:name w:val="Note de fin Car"/>
    <w:link w:val="Notedefin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BA3BB5"/>
    <w:pPr>
      <w:ind w:left="567" w:right="567" w:firstLine="0"/>
    </w:pPr>
  </w:style>
  <w:style w:type="character" w:styleId="Appelnotedebasdep">
    <w:name w:val="footnote reference"/>
    <w:uiPriority w:val="5"/>
    <w:rsid w:val="00BA3BB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epuce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3BB5"/>
  </w:style>
  <w:style w:type="paragraph" w:styleId="Normalcentr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3BB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3BB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A3B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A3BB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3B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3BB5"/>
  </w:style>
  <w:style w:type="character" w:customStyle="1" w:styleId="DateCar">
    <w:name w:val="Date C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3BB5"/>
  </w:style>
  <w:style w:type="character" w:customStyle="1" w:styleId="SignaturelectroniqueCar">
    <w:name w:val="Signature électronique Car"/>
    <w:link w:val="Signaturelectroniqu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BA3BB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A3BB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3BB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A3BB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A3BB5"/>
    <w:rPr>
      <w:lang w:val="es-ES"/>
    </w:rPr>
  </w:style>
  <w:style w:type="paragraph" w:styleId="Liste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BA3BB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3BB5"/>
  </w:style>
  <w:style w:type="character" w:customStyle="1" w:styleId="TitredenoteCar">
    <w:name w:val="Titre de note Car"/>
    <w:link w:val="Titredeno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BA3BB5"/>
    <w:rPr>
      <w:lang w:val="es-ES"/>
    </w:rPr>
  </w:style>
  <w:style w:type="character" w:styleId="Textedelespacerserv">
    <w:name w:val="Placeholder Text"/>
    <w:uiPriority w:val="99"/>
    <w:semiHidden/>
    <w:rsid w:val="00BA3BB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A3BB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3BB5"/>
  </w:style>
  <w:style w:type="character" w:customStyle="1" w:styleId="SalutationsCar">
    <w:name w:val="Salutations Car"/>
    <w:link w:val="Salutations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3BB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BA3BB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507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8157</Characters>
  <Application>Microsoft Office Word</Application>
  <DocSecurity>0</DocSecurity>
  <Lines>185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2021-04-07T13:59:00Z</dcterms:created>
  <dcterms:modified xsi:type="dcterms:W3CDTF">2021-04-07T15:09:00Z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e5d8ae65-2e2f-4937-91d3-b6cce04ec2e8</vt:lpwstr>
  </property>
  <property fmtid="{D5CDD505-2E9C-101B-9397-08002B2CF9AE}" pid="4" name="WTOCLASSIFICATION">
    <vt:lpwstr>WTO OFFICIAL</vt:lpwstr>
  </property>
</Properties>
</file>