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2FD1" w14:textId="5685525C" w:rsidR="009239F7" w:rsidRPr="005A4EEC" w:rsidRDefault="005A4EEC" w:rsidP="005A4EEC">
      <w:pPr>
        <w:pStyle w:val="Title"/>
        <w:rPr>
          <w:caps w:val="0"/>
          <w:kern w:val="0"/>
        </w:rPr>
      </w:pPr>
      <w:bookmarkStart w:id="8" w:name="_Hlk129167179"/>
      <w:r w:rsidRPr="005A4EEC">
        <w:rPr>
          <w:caps w:val="0"/>
          <w:kern w:val="0"/>
        </w:rPr>
        <w:t>NOTIFICACIÓN</w:t>
      </w:r>
    </w:p>
    <w:p w14:paraId="5E6D3253" w14:textId="77777777" w:rsidR="009239F7" w:rsidRPr="005A4EEC" w:rsidRDefault="00276FB2" w:rsidP="005A4EEC">
      <w:pPr>
        <w:jc w:val="center"/>
      </w:pPr>
      <w:r w:rsidRPr="005A4EEC">
        <w:t>Se da traslado de la notificación siguiente de conformidad con el artículo 10.6.</w:t>
      </w:r>
    </w:p>
    <w:p w14:paraId="1E308C58" w14:textId="77777777" w:rsidR="009239F7" w:rsidRPr="005A4EEC" w:rsidRDefault="009239F7" w:rsidP="005A4EE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A4EEC" w:rsidRPr="005A4EEC" w14:paraId="7D7F9DFC" w14:textId="77777777" w:rsidTr="005A4EE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784DEEA" w14:textId="77777777" w:rsidR="00F85C99" w:rsidRPr="005A4EEC" w:rsidRDefault="00276FB2" w:rsidP="005A4EEC">
            <w:pPr>
              <w:spacing w:before="120" w:after="120"/>
              <w:jc w:val="left"/>
            </w:pPr>
            <w:r w:rsidRPr="005A4EE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F6893C5" w14:textId="0CD99F56" w:rsidR="00F85C99" w:rsidRPr="005A4EEC" w:rsidRDefault="00276FB2" w:rsidP="005A4EEC">
            <w:pPr>
              <w:spacing w:before="120" w:after="120"/>
            </w:pPr>
            <w:r w:rsidRPr="005A4EEC">
              <w:rPr>
                <w:b/>
              </w:rPr>
              <w:t>Miembro que notifica</w:t>
            </w:r>
            <w:r w:rsidR="005A4EEC" w:rsidRPr="005A4EEC">
              <w:rPr>
                <w:b/>
              </w:rPr>
              <w:t xml:space="preserve">: </w:t>
            </w:r>
            <w:r w:rsidR="005A4EEC" w:rsidRPr="005A4EEC">
              <w:rPr>
                <w:u w:val="single"/>
              </w:rPr>
              <w:t>U</w:t>
            </w:r>
            <w:r w:rsidRPr="005A4EEC">
              <w:rPr>
                <w:u w:val="single"/>
              </w:rPr>
              <w:t>NIÓN EUROPEA</w:t>
            </w:r>
          </w:p>
          <w:p w14:paraId="79F9C175" w14:textId="40645EFE" w:rsidR="00F85C99" w:rsidRPr="005A4EEC" w:rsidRDefault="00276FB2" w:rsidP="005A4EEC">
            <w:pPr>
              <w:spacing w:after="120"/>
            </w:pPr>
            <w:r w:rsidRPr="005A4EEC">
              <w:rPr>
                <w:b/>
              </w:rPr>
              <w:t>Si procede, nombre del gobierno local de que se trate (artículos 3.2 y 7.2):</w:t>
            </w:r>
          </w:p>
        </w:tc>
      </w:tr>
      <w:tr w:rsidR="005A4EEC" w:rsidRPr="00EE4338" w14:paraId="7604DAE4" w14:textId="77777777" w:rsidTr="005A4E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CCFC0" w14:textId="77777777" w:rsidR="00F85C99" w:rsidRPr="005A4EEC" w:rsidRDefault="00276FB2" w:rsidP="005A4EEC">
            <w:pPr>
              <w:spacing w:before="120" w:after="120"/>
              <w:jc w:val="left"/>
            </w:pPr>
            <w:r w:rsidRPr="005A4EE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311BA" w14:textId="77777777" w:rsidR="00827AAF" w:rsidRPr="005A4EEC" w:rsidRDefault="00276FB2" w:rsidP="005A4EEC">
            <w:pPr>
              <w:spacing w:before="120" w:after="120"/>
            </w:pPr>
            <w:r w:rsidRPr="005A4EEC">
              <w:rPr>
                <w:b/>
              </w:rPr>
              <w:t>Organismo responsable:</w:t>
            </w:r>
          </w:p>
          <w:p w14:paraId="3F9E7B1F" w14:textId="76FBD3AD" w:rsidR="00EE3A11" w:rsidRPr="005A4EEC" w:rsidRDefault="00276FB2" w:rsidP="005A4EEC">
            <w:pPr>
              <w:spacing w:after="120"/>
            </w:pPr>
            <w:r w:rsidRPr="005A4EEC">
              <w:t>Comisión Europea</w:t>
            </w:r>
          </w:p>
          <w:p w14:paraId="1783FC65" w14:textId="77777777" w:rsidR="00827AAF" w:rsidRPr="005A4EEC" w:rsidRDefault="00276FB2" w:rsidP="005A4EEC">
            <w:pPr>
              <w:spacing w:after="120"/>
            </w:pPr>
            <w:r w:rsidRPr="005A4EE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266AE69" w14:textId="3D765D86" w:rsidR="00AC6C6E" w:rsidRPr="005A4EEC" w:rsidRDefault="00276FB2" w:rsidP="005A4EEC">
            <w:proofErr w:type="spellStart"/>
            <w:r w:rsidRPr="005A4EEC">
              <w:rPr>
                <w:i/>
                <w:iCs/>
              </w:rPr>
              <w:t>European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Commission</w:t>
            </w:r>
            <w:proofErr w:type="spellEnd"/>
            <w:r w:rsidRPr="005A4EEC">
              <w:t xml:space="preserve"> (Comisión Europea)</w:t>
            </w:r>
          </w:p>
          <w:p w14:paraId="783DCE61" w14:textId="14674A7B" w:rsidR="00AC6C6E" w:rsidRPr="005A4EEC" w:rsidRDefault="00276FB2" w:rsidP="005A4EEC">
            <w:r w:rsidRPr="005A4EEC">
              <w:rPr>
                <w:i/>
                <w:iCs/>
              </w:rPr>
              <w:t xml:space="preserve">EU-TBT </w:t>
            </w:r>
            <w:proofErr w:type="spellStart"/>
            <w:r w:rsidRPr="005A4EEC">
              <w:rPr>
                <w:i/>
                <w:iCs/>
              </w:rPr>
              <w:t>Enquiry</w:t>
            </w:r>
            <w:proofErr w:type="spellEnd"/>
            <w:r w:rsidRPr="005A4EEC">
              <w:rPr>
                <w:i/>
                <w:iCs/>
              </w:rPr>
              <w:t xml:space="preserve"> Point</w:t>
            </w:r>
            <w:r w:rsidRPr="005A4EEC">
              <w:t xml:space="preserve"> (Servicio de Información </w:t>
            </w:r>
            <w:proofErr w:type="spellStart"/>
            <w:r w:rsidRPr="005A4EEC">
              <w:t>OTC</w:t>
            </w:r>
            <w:proofErr w:type="spellEnd"/>
            <w:r w:rsidRPr="005A4EEC">
              <w:t xml:space="preserve"> de la UE)</w:t>
            </w:r>
          </w:p>
          <w:p w14:paraId="76235014" w14:textId="1F81A325" w:rsidR="00AC6C6E" w:rsidRPr="005A4EEC" w:rsidRDefault="00276FB2" w:rsidP="005A4EEC">
            <w:r w:rsidRPr="005A4EEC">
              <w:t>Fax</w:t>
            </w:r>
            <w:r w:rsidR="005A4EEC" w:rsidRPr="005A4EEC">
              <w:t>: +</w:t>
            </w:r>
            <w:r w:rsidRPr="005A4EEC">
              <w:t>(32) 2 299 80 43</w:t>
            </w:r>
          </w:p>
          <w:p w14:paraId="43C3FE62" w14:textId="72CFB7E1" w:rsidR="00AC6C6E" w:rsidRPr="005A4EEC" w:rsidRDefault="00827AAF" w:rsidP="005A4EEC">
            <w:r w:rsidRPr="005A4EEC">
              <w:t xml:space="preserve">Correo electrónico: </w:t>
            </w:r>
            <w:hyperlink r:id="rId7" w:history="1">
              <w:r w:rsidR="005A4EEC" w:rsidRPr="005A4EEC">
                <w:rPr>
                  <w:rStyle w:val="Hyperlink"/>
                </w:rPr>
                <w:t>grow-eu-tbt@ec.europa.eu</w:t>
              </w:r>
            </w:hyperlink>
          </w:p>
          <w:p w14:paraId="5102DDD3" w14:textId="5708E821" w:rsidR="00AC6C6E" w:rsidRPr="00EE4338" w:rsidRDefault="00276FB2" w:rsidP="005A4EEC">
            <w:pPr>
              <w:spacing w:after="120"/>
              <w:rPr>
                <w:lang w:val="en-GB"/>
              </w:rPr>
            </w:pPr>
            <w:r w:rsidRPr="00EE4338">
              <w:rPr>
                <w:lang w:val="en-GB"/>
              </w:rPr>
              <w:t xml:space="preserve">Sitio web: </w:t>
            </w:r>
            <w:r w:rsidR="00EE4338">
              <w:fldChar w:fldCharType="begin"/>
            </w:r>
            <w:r w:rsidR="00EE4338" w:rsidRPr="00EE4338">
              <w:rPr>
                <w:lang w:val="en-GB"/>
              </w:rPr>
              <w:instrText xml:space="preserve"> HYPERLINK "http://ec.europa.eu/growth/tools-databases/tbt/en/" \t "_blank" </w:instrText>
            </w:r>
            <w:r w:rsidR="00EE4338">
              <w:fldChar w:fldCharType="separate"/>
            </w:r>
            <w:r w:rsidR="005A4EEC" w:rsidRPr="00EE4338">
              <w:rPr>
                <w:rStyle w:val="Hyperlink"/>
                <w:lang w:val="en-GB"/>
              </w:rPr>
              <w:t>http://ec.europa.eu/growth/tools-databases/tbt/en/</w:t>
            </w:r>
            <w:r w:rsidR="00EE4338">
              <w:rPr>
                <w:rStyle w:val="Hyperlink"/>
              </w:rPr>
              <w:fldChar w:fldCharType="end"/>
            </w:r>
          </w:p>
        </w:tc>
      </w:tr>
      <w:tr w:rsidR="005A4EEC" w:rsidRPr="005A4EEC" w14:paraId="1C5A87AC" w14:textId="77777777" w:rsidTr="005A4E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E449B" w14:textId="77777777" w:rsidR="00F85C99" w:rsidRPr="005A4EEC" w:rsidRDefault="00276FB2" w:rsidP="005A4EEC">
            <w:pPr>
              <w:spacing w:before="120" w:after="120"/>
              <w:jc w:val="left"/>
              <w:rPr>
                <w:b/>
              </w:rPr>
            </w:pPr>
            <w:r w:rsidRPr="005A4EE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AB7D0" w14:textId="393AFAB0" w:rsidR="00F85C99" w:rsidRPr="005A4EEC" w:rsidRDefault="00276FB2" w:rsidP="005A4EEC">
            <w:pPr>
              <w:spacing w:before="120" w:after="120"/>
            </w:pPr>
            <w:r w:rsidRPr="005A4EEC">
              <w:rPr>
                <w:b/>
              </w:rPr>
              <w:t xml:space="preserve">Notificación hecha en virtud del artículo 2.9.2 [X], 2.10.1 </w:t>
            </w:r>
            <w:r w:rsidR="005A4EEC" w:rsidRPr="005A4EEC">
              <w:rPr>
                <w:b/>
              </w:rPr>
              <w:t>[ ]</w:t>
            </w:r>
            <w:r w:rsidRPr="005A4EEC">
              <w:rPr>
                <w:b/>
              </w:rPr>
              <w:t xml:space="preserve">, 5.6.2 [X], 5.7.1 </w:t>
            </w:r>
            <w:r w:rsidR="005A4EEC" w:rsidRPr="005A4EEC">
              <w:rPr>
                <w:b/>
              </w:rPr>
              <w:t>[</w:t>
            </w:r>
            <w:r w:rsidR="005A4EEC">
              <w:rPr>
                <w:b/>
              </w:rPr>
              <w:t> </w:t>
            </w:r>
            <w:r w:rsidR="005A4EEC" w:rsidRPr="005A4EEC">
              <w:rPr>
                <w:b/>
              </w:rPr>
              <w:t>]</w:t>
            </w:r>
            <w:r w:rsidRPr="005A4EEC">
              <w:rPr>
                <w:b/>
              </w:rPr>
              <w:t xml:space="preserve">, 3.2 </w:t>
            </w:r>
            <w:r w:rsidR="005A4EEC" w:rsidRPr="005A4EEC">
              <w:rPr>
                <w:b/>
              </w:rPr>
              <w:t>[ ]</w:t>
            </w:r>
            <w:r w:rsidRPr="005A4EEC">
              <w:rPr>
                <w:b/>
              </w:rPr>
              <w:t xml:space="preserve">, 7.2 </w:t>
            </w:r>
            <w:r w:rsidR="005A4EEC" w:rsidRPr="005A4EEC">
              <w:rPr>
                <w:b/>
              </w:rPr>
              <w:t>[ ]</w:t>
            </w:r>
            <w:r w:rsidRPr="005A4EEC">
              <w:rPr>
                <w:b/>
              </w:rPr>
              <w:t>, o en virtud de:</w:t>
            </w:r>
          </w:p>
        </w:tc>
      </w:tr>
      <w:tr w:rsidR="005A4EEC" w:rsidRPr="005A4EEC" w14:paraId="54CA0664" w14:textId="77777777" w:rsidTr="005A4E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3948B" w14:textId="77777777" w:rsidR="00F85C99" w:rsidRPr="005A4EEC" w:rsidRDefault="00276FB2" w:rsidP="005A4EEC">
            <w:pPr>
              <w:spacing w:before="120" w:after="120"/>
              <w:jc w:val="left"/>
            </w:pPr>
            <w:r w:rsidRPr="005A4EE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FA3FB" w14:textId="64C70C40" w:rsidR="00827AAF" w:rsidRPr="005A4EEC" w:rsidRDefault="00276FB2" w:rsidP="005A4EEC">
            <w:pPr>
              <w:spacing w:before="120" w:after="120"/>
            </w:pPr>
            <w:r w:rsidRPr="005A4EEC">
              <w:rPr>
                <w:b/>
              </w:rPr>
              <w:t xml:space="preserve">Productos abarcados (partida del SA o de la </w:t>
            </w:r>
            <w:proofErr w:type="spellStart"/>
            <w:r w:rsidRPr="005A4EEC">
              <w:rPr>
                <w:b/>
              </w:rPr>
              <w:t>NCCA</w:t>
            </w:r>
            <w:proofErr w:type="spellEnd"/>
            <w:r w:rsidRPr="005A4EEC">
              <w:rPr>
                <w:b/>
              </w:rPr>
              <w:t xml:space="preserve"> cuando corresponda</w:t>
            </w:r>
            <w:r w:rsidR="005A4EEC" w:rsidRPr="005A4EEC">
              <w:rPr>
                <w:b/>
              </w:rPr>
              <w:t>; e</w:t>
            </w:r>
            <w:r w:rsidRPr="005A4EEC">
              <w:rPr>
                <w:b/>
              </w:rPr>
              <w:t>n otro caso partida del arancel nacional</w:t>
            </w:r>
            <w:r w:rsidR="005A4EEC" w:rsidRPr="005A4EEC">
              <w:rPr>
                <w:b/>
              </w:rPr>
              <w:t>. P</w:t>
            </w:r>
            <w:r w:rsidRPr="005A4EEC">
              <w:rPr>
                <w:b/>
              </w:rPr>
              <w:t>odrá indicarse además, cuando proceda, el número de partida de la ICS)</w:t>
            </w:r>
            <w:r w:rsidR="005A4EEC" w:rsidRPr="005A4EEC">
              <w:rPr>
                <w:b/>
              </w:rPr>
              <w:t xml:space="preserve">: </w:t>
            </w:r>
            <w:r w:rsidR="005A4EEC" w:rsidRPr="005A4EEC">
              <w:t>3</w:t>
            </w:r>
            <w:r w:rsidRPr="005A4EEC">
              <w:t>923 Artículos para el transporte o envasado, de plástico</w:t>
            </w:r>
            <w:r w:rsidR="005A4EEC" w:rsidRPr="005A4EEC">
              <w:t>; t</w:t>
            </w:r>
            <w:r w:rsidRPr="005A4EEC">
              <w:t>apones, tapas, cápsulas y demás dispositivos de cierre, de plástico</w:t>
            </w:r>
          </w:p>
          <w:p w14:paraId="01119949" w14:textId="6242A913" w:rsidR="00EE3A11" w:rsidRPr="005A4EEC" w:rsidRDefault="00276FB2" w:rsidP="005A4EEC">
            <w:pPr>
              <w:spacing w:before="120" w:after="120"/>
            </w:pPr>
            <w:r w:rsidRPr="005A4EEC">
              <w:t>4819 Envases de papel y cartón</w:t>
            </w:r>
          </w:p>
          <w:p w14:paraId="1B322E96" w14:textId="77777777" w:rsidR="00EE3A11" w:rsidRPr="005A4EEC" w:rsidRDefault="00276FB2" w:rsidP="005A4EEC">
            <w:pPr>
              <w:spacing w:before="120" w:after="120"/>
            </w:pPr>
            <w:r w:rsidRPr="005A4EEC">
              <w:t>7010 Bombonas (damajuanas), botellas, frascos, bocales, tarros, envases tubulares, ampollas y demás recipientes para el transporte o envasado, de vidrio, bocales para conservas, tapones, tapas y demás dispositivos de cierre, de vidrio</w:t>
            </w:r>
          </w:p>
          <w:p w14:paraId="6F31E948" w14:textId="0B568104" w:rsidR="00EE3A11" w:rsidRPr="005A4EEC" w:rsidRDefault="00276FB2" w:rsidP="005A4EEC">
            <w:pPr>
              <w:spacing w:before="120" w:after="120"/>
            </w:pPr>
            <w:r w:rsidRPr="005A4EEC">
              <w:t>4415 Cajones, cajas, jaulas, tambores y envases similares, de madera</w:t>
            </w:r>
            <w:r w:rsidR="005A4EEC" w:rsidRPr="005A4EEC">
              <w:t>; c</w:t>
            </w:r>
            <w:r w:rsidRPr="005A4EEC">
              <w:t>arretes para cables, de madera</w:t>
            </w:r>
            <w:r w:rsidR="005A4EEC" w:rsidRPr="005A4EEC">
              <w:t>; p</w:t>
            </w:r>
            <w:r w:rsidRPr="005A4EEC">
              <w:t>aletas, paletas caja y demás plataformas para carga, de madera</w:t>
            </w:r>
            <w:r w:rsidR="005A4EEC" w:rsidRPr="005A4EEC">
              <w:t>; c</w:t>
            </w:r>
            <w:r w:rsidRPr="005A4EEC">
              <w:t>ollarines para paletas, de madera</w:t>
            </w:r>
          </w:p>
          <w:p w14:paraId="68CF5013" w14:textId="77777777" w:rsidR="00EE3A11" w:rsidRPr="005A4EEC" w:rsidRDefault="00276FB2" w:rsidP="005A4EEC">
            <w:pPr>
              <w:spacing w:before="120" w:after="120"/>
            </w:pPr>
            <w:r w:rsidRPr="005A4EEC">
              <w:t>6305 Sacos (bolsas) y talegas, para envasar, de todos los tipos de materias textiles</w:t>
            </w:r>
          </w:p>
          <w:p w14:paraId="743FD41F" w14:textId="77777777" w:rsidR="00EE3A11" w:rsidRPr="005A4EEC" w:rsidRDefault="00276FB2" w:rsidP="005A4EEC">
            <w:pPr>
              <w:spacing w:before="120" w:after="120"/>
            </w:pPr>
            <w:r w:rsidRPr="005A4EEC">
              <w:t xml:space="preserve">8309 Tapones y tapas (incluidas las tapas corona, las tapas roscadas y los tapones vertedores), cápsulas para botellas, tapones roscados, </w:t>
            </w:r>
            <w:proofErr w:type="spellStart"/>
            <w:r w:rsidRPr="005A4EEC">
              <w:t>sobretapas</w:t>
            </w:r>
            <w:proofErr w:type="spellEnd"/>
            <w:r w:rsidRPr="005A4EEC">
              <w:t>, precintos y demás accesorios para envases</w:t>
            </w:r>
          </w:p>
          <w:p w14:paraId="4FB9A6B1" w14:textId="77777777" w:rsidR="00EE3A11" w:rsidRPr="005A4EEC" w:rsidRDefault="00276FB2" w:rsidP="005A4EEC">
            <w:pPr>
              <w:spacing w:before="120" w:after="120"/>
            </w:pPr>
            <w:r w:rsidRPr="005A4EEC">
              <w:t>4416 Barriles, cubas, tinas y demás manufacturas de tonelería y sus partes, de madera, incluidas las duelas</w:t>
            </w:r>
          </w:p>
          <w:p w14:paraId="203CB0D7" w14:textId="1ACDA1BF" w:rsidR="00EE3A11" w:rsidRPr="005A4EEC" w:rsidRDefault="00276FB2" w:rsidP="005A4EEC">
            <w:pPr>
              <w:spacing w:before="120" w:after="120"/>
            </w:pPr>
            <w:r w:rsidRPr="005A4EEC">
              <w:t>Ex 6909 Aparatos y artículos, de cerámica, para usos químicos o demás usos técnicos</w:t>
            </w:r>
            <w:r w:rsidR="005A4EEC" w:rsidRPr="005A4EEC">
              <w:t>; a</w:t>
            </w:r>
            <w:r w:rsidRPr="005A4EEC">
              <w:t>brevaderos, pilas y recipientes similares, de cerámica, para uso rural</w:t>
            </w:r>
            <w:r w:rsidR="005A4EEC" w:rsidRPr="005A4EEC">
              <w:t>; c</w:t>
            </w:r>
            <w:r w:rsidRPr="005A4EEC">
              <w:t>ántaros y recipientes similares, de cerámica, para transporte o envasado</w:t>
            </w:r>
          </w:p>
          <w:p w14:paraId="5358E818" w14:textId="7C32F5B6" w:rsidR="00EE3A11" w:rsidRPr="005A4EEC" w:rsidRDefault="00276FB2" w:rsidP="005A4EEC">
            <w:pPr>
              <w:keepNext/>
              <w:keepLines/>
              <w:spacing w:before="120" w:after="120"/>
            </w:pPr>
            <w:r w:rsidRPr="005A4EEC">
              <w:lastRenderedPageBreak/>
              <w:t>7310 Depósitos, barriles, tambores, bidones, latas o botes, cajas y recipientes similares, para cualquier materia (excepto gas comprimido o licuado), de fundición, hierro o acero, de capacidad inferior o igual a 300</w:t>
            </w:r>
            <w:r w:rsidR="005A4EEC" w:rsidRPr="005A4EEC">
              <w:t xml:space="preserve"> </w:t>
            </w:r>
            <w:r w:rsidRPr="005A4EEC">
              <w:t>l, sin dispositivos mecánicos ni térmicos, incluso con revestimiento interior o calorífugo</w:t>
            </w:r>
          </w:p>
          <w:p w14:paraId="14CCBF35" w14:textId="77777777" w:rsidR="00EE3A11" w:rsidRPr="005A4EEC" w:rsidRDefault="00276FB2" w:rsidP="005A4EEC">
            <w:pPr>
              <w:spacing w:before="120" w:after="120"/>
            </w:pPr>
            <w:r w:rsidRPr="005A4EEC">
              <w:t>7311 Recipientes para gas comprimido o licuado, de fundición, hierro o acero</w:t>
            </w:r>
          </w:p>
          <w:p w14:paraId="0DD0099B" w14:textId="615B029A" w:rsidR="00EE3A11" w:rsidRPr="005A4EEC" w:rsidRDefault="00276FB2" w:rsidP="005A4EEC">
            <w:pPr>
              <w:spacing w:before="120" w:after="120"/>
            </w:pPr>
            <w:r w:rsidRPr="005A4EEC">
              <w:t>7612 Depósitos, barriles, tambores, bidones, botes, cajas y recipientes similares, de aluminio (incluidos los envases tubulares rígidos o flexibles), para cualquier materia (excepto gas comprimido o licuado), de capacidad inferior o igual a 300</w:t>
            </w:r>
            <w:r w:rsidR="005A4EEC" w:rsidRPr="005A4EEC">
              <w:t xml:space="preserve"> </w:t>
            </w:r>
            <w:r w:rsidRPr="005A4EEC">
              <w:t>l, sin dispositivos mecánicos ni térmicos, incluso con revestimiento interior o calorífugo</w:t>
            </w:r>
          </w:p>
          <w:p w14:paraId="010D3F60" w14:textId="77777777" w:rsidR="00EE3A11" w:rsidRPr="005A4EEC" w:rsidRDefault="00276FB2" w:rsidP="005A4EEC">
            <w:pPr>
              <w:spacing w:before="120" w:after="120"/>
            </w:pPr>
            <w:r w:rsidRPr="005A4EEC">
              <w:t>7613 Recipientes para gas comprimido o licuado, de aluminio</w:t>
            </w:r>
          </w:p>
          <w:p w14:paraId="744504F6" w14:textId="77777777" w:rsidR="00EE3A11" w:rsidRPr="005A4EEC" w:rsidRDefault="00276FB2" w:rsidP="005A4EEC">
            <w:pPr>
              <w:spacing w:before="120" w:after="120"/>
            </w:pPr>
            <w:r w:rsidRPr="005A4EEC">
              <w:rPr>
                <w:i/>
              </w:rPr>
              <w:t xml:space="preserve">De conformidad con las Notas Explicativas del Sistema Armonizado de la </w:t>
            </w:r>
            <w:proofErr w:type="spellStart"/>
            <w:r w:rsidRPr="005A4EEC">
              <w:rPr>
                <w:i/>
              </w:rPr>
              <w:t>OMA</w:t>
            </w:r>
            <w:proofErr w:type="spellEnd"/>
            <w:r w:rsidRPr="005A4EEC">
              <w:rPr>
                <w:i/>
              </w:rPr>
              <w:t>, los depósitos, las cisternas, las cubas y los recipientes similares sin dispositivos mecánicos ni térmicos también se incluyen en las siguientes partidas:</w:t>
            </w:r>
          </w:p>
          <w:p w14:paraId="16DC4F53" w14:textId="77777777" w:rsidR="00EE3A11" w:rsidRPr="005A4EEC" w:rsidRDefault="00276FB2" w:rsidP="005A4EEC">
            <w:pPr>
              <w:spacing w:before="120" w:after="120"/>
            </w:pPr>
            <w:r w:rsidRPr="005A4EEC">
              <w:t>Ex 7419 Las demás manufacturas de cobre</w:t>
            </w:r>
          </w:p>
          <w:p w14:paraId="1CDBEF35" w14:textId="77777777" w:rsidR="00EE3A11" w:rsidRPr="005A4EEC" w:rsidRDefault="00276FB2" w:rsidP="005A4EEC">
            <w:pPr>
              <w:spacing w:before="120" w:after="120"/>
            </w:pPr>
            <w:r w:rsidRPr="005A4EEC">
              <w:t>Ex 7508 Las demás manufacturas de níquel</w:t>
            </w:r>
          </w:p>
          <w:p w14:paraId="3C7485BE" w14:textId="77777777" w:rsidR="00EE3A11" w:rsidRPr="005A4EEC" w:rsidRDefault="00276FB2" w:rsidP="005A4EEC">
            <w:pPr>
              <w:spacing w:before="120" w:after="120"/>
            </w:pPr>
            <w:r w:rsidRPr="005A4EEC">
              <w:t>Ex 7907 Las demás manufacturas de cinc</w:t>
            </w:r>
          </w:p>
          <w:p w14:paraId="5D3B9A6C" w14:textId="77777777" w:rsidR="00EE3A11" w:rsidRPr="005A4EEC" w:rsidRDefault="00276FB2" w:rsidP="005A4EEC">
            <w:pPr>
              <w:spacing w:before="120" w:after="120"/>
            </w:pPr>
            <w:r w:rsidRPr="005A4EEC">
              <w:t>Ex 8007 Las demás manufacturas de estaño</w:t>
            </w:r>
          </w:p>
          <w:p w14:paraId="529FF740" w14:textId="77777777" w:rsidR="00EE3A11" w:rsidRPr="005A4EEC" w:rsidRDefault="00276FB2" w:rsidP="005A4EEC">
            <w:pPr>
              <w:spacing w:before="120" w:after="120"/>
            </w:pPr>
            <w:r w:rsidRPr="005A4EEC">
              <w:t>Ex 8104 Magnesio y sus manufacturas, incluidos los desperdicios y desechos</w:t>
            </w:r>
          </w:p>
          <w:p w14:paraId="5DDD402B" w14:textId="626B9327" w:rsidR="00EE3A11" w:rsidRPr="005A4EEC" w:rsidRDefault="00276FB2" w:rsidP="005A4EEC">
            <w:pPr>
              <w:spacing w:before="120" w:after="120"/>
            </w:pPr>
            <w:r w:rsidRPr="005A4EEC">
              <w:t>Ex 3919, Ex 3920, Ex 3921 - Envoltorios de plástico</w:t>
            </w:r>
          </w:p>
          <w:p w14:paraId="0BF39D5F" w14:textId="18971880" w:rsidR="00EE3A11" w:rsidRPr="005A4EEC" w:rsidRDefault="00276FB2" w:rsidP="005A4EEC">
            <w:pPr>
              <w:spacing w:before="120" w:after="120"/>
            </w:pPr>
            <w:r w:rsidRPr="005A4EEC">
              <w:t>Ex 4804, Ex 4805, Ex 4808, Ex 4813, Ex 4823 - Envoltorios de papel</w:t>
            </w:r>
          </w:p>
          <w:p w14:paraId="1BE900A2" w14:textId="783B72D0" w:rsidR="00EE3A11" w:rsidRPr="005A4EEC" w:rsidRDefault="00276FB2" w:rsidP="005A4EEC">
            <w:pPr>
              <w:spacing w:before="120" w:after="120"/>
            </w:pPr>
            <w:r w:rsidRPr="005A4EEC">
              <w:t>6306 12 y 6306 19 - Toldos</w:t>
            </w:r>
          </w:p>
        </w:tc>
      </w:tr>
      <w:tr w:rsidR="005A4EEC" w:rsidRPr="005A4EEC" w14:paraId="1FEB2FE3" w14:textId="77777777" w:rsidTr="005A4E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4055D" w14:textId="77777777" w:rsidR="00F85C99" w:rsidRPr="005A4EEC" w:rsidRDefault="00276FB2" w:rsidP="005A4EEC">
            <w:pPr>
              <w:spacing w:before="120" w:after="120"/>
              <w:jc w:val="left"/>
            </w:pPr>
            <w:r w:rsidRPr="005A4EEC">
              <w:rPr>
                <w:b/>
              </w:rPr>
              <w:lastRenderedPageBreak/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EB539" w14:textId="4B106E62" w:rsidR="00F85C99" w:rsidRPr="005A4EEC" w:rsidRDefault="00276FB2" w:rsidP="005A4EEC">
            <w:pPr>
              <w:spacing w:before="120" w:after="120"/>
            </w:pPr>
            <w:r w:rsidRPr="005A4EEC">
              <w:rPr>
                <w:b/>
              </w:rPr>
              <w:t>Título, número de páginas e idioma(s) del documento notificado</w:t>
            </w:r>
            <w:r w:rsidR="005A4EEC" w:rsidRPr="005A4EEC">
              <w:rPr>
                <w:b/>
              </w:rPr>
              <w:t xml:space="preserve">: </w:t>
            </w:r>
            <w:proofErr w:type="spellStart"/>
            <w:r w:rsidR="005A4EEC" w:rsidRPr="005A4EEC">
              <w:rPr>
                <w:i/>
                <w:iCs/>
              </w:rPr>
              <w:t>P</w:t>
            </w:r>
            <w:r w:rsidRPr="005A4EEC">
              <w:rPr>
                <w:i/>
                <w:iCs/>
              </w:rPr>
              <w:t>roposal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for</w:t>
            </w:r>
            <w:proofErr w:type="spellEnd"/>
            <w:r w:rsidRPr="005A4EEC">
              <w:rPr>
                <w:i/>
                <w:iCs/>
              </w:rPr>
              <w:t xml:space="preserve"> a </w:t>
            </w:r>
            <w:proofErr w:type="spellStart"/>
            <w:r w:rsidRPr="005A4EEC">
              <w:rPr>
                <w:i/>
                <w:iCs/>
              </w:rPr>
              <w:t>Regulation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of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the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European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Parliament</w:t>
            </w:r>
            <w:proofErr w:type="spellEnd"/>
            <w:r w:rsidRPr="005A4EEC">
              <w:rPr>
                <w:i/>
                <w:iCs/>
              </w:rPr>
              <w:t xml:space="preserve"> and </w:t>
            </w:r>
            <w:proofErr w:type="spellStart"/>
            <w:r w:rsidRPr="005A4EEC">
              <w:rPr>
                <w:i/>
                <w:iCs/>
              </w:rPr>
              <w:t>of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the</w:t>
            </w:r>
            <w:proofErr w:type="spellEnd"/>
            <w:r w:rsidRPr="005A4EEC">
              <w:rPr>
                <w:i/>
                <w:iCs/>
              </w:rPr>
              <w:t xml:space="preserve"> Council </w:t>
            </w:r>
            <w:proofErr w:type="spellStart"/>
            <w:r w:rsidRPr="005A4EEC">
              <w:rPr>
                <w:i/>
                <w:iCs/>
              </w:rPr>
              <w:t>on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packaging</w:t>
            </w:r>
            <w:proofErr w:type="spellEnd"/>
            <w:r w:rsidRPr="005A4EEC">
              <w:rPr>
                <w:i/>
                <w:iCs/>
              </w:rPr>
              <w:t xml:space="preserve"> and </w:t>
            </w:r>
            <w:proofErr w:type="spellStart"/>
            <w:r w:rsidRPr="005A4EEC">
              <w:rPr>
                <w:i/>
                <w:iCs/>
              </w:rPr>
              <w:t>packaging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waste</w:t>
            </w:r>
            <w:proofErr w:type="spellEnd"/>
            <w:r w:rsidRPr="005A4EEC">
              <w:rPr>
                <w:i/>
                <w:iCs/>
              </w:rPr>
              <w:t xml:space="preserve">, </w:t>
            </w:r>
            <w:proofErr w:type="spellStart"/>
            <w:r w:rsidRPr="005A4EEC">
              <w:rPr>
                <w:i/>
                <w:iCs/>
              </w:rPr>
              <w:t>amending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Regulation</w:t>
            </w:r>
            <w:proofErr w:type="spellEnd"/>
            <w:r w:rsidRPr="005A4EEC">
              <w:rPr>
                <w:i/>
                <w:iCs/>
              </w:rPr>
              <w:t xml:space="preserve"> (EU) 2019/1020 and Directive (EU) 2019/904 and </w:t>
            </w:r>
            <w:proofErr w:type="spellStart"/>
            <w:r w:rsidRPr="005A4EEC">
              <w:rPr>
                <w:i/>
                <w:iCs/>
              </w:rPr>
              <w:t>repealing</w:t>
            </w:r>
            <w:proofErr w:type="spellEnd"/>
            <w:r w:rsidRPr="005A4EEC">
              <w:rPr>
                <w:i/>
                <w:iCs/>
              </w:rPr>
              <w:t xml:space="preserve"> Directive 94/62/EC</w:t>
            </w:r>
            <w:r w:rsidRPr="005A4EEC">
              <w:t xml:space="preserve"> (Propuesta de Reglamento del Parlamento Europeo y del Consejo sobre los envases y residuos de envases, por el que se modifican el Reglamento (UE) 2019/1020 y la Directiva (UE) 2019/904, y se deroga la Directiva 94/62/CE) (COM(2022) 677 final)</w:t>
            </w:r>
            <w:r w:rsidR="005A4EEC" w:rsidRPr="005A4EEC">
              <w:t>. D</w:t>
            </w:r>
            <w:r w:rsidRPr="005A4EEC">
              <w:t>ocumento en inglés (118 páginas)</w:t>
            </w:r>
            <w:r w:rsidR="005A4EEC" w:rsidRPr="005A4EEC">
              <w:t>. A</w:t>
            </w:r>
            <w:r w:rsidRPr="005A4EEC">
              <w:t>nexo en inglés (36 páginas).</w:t>
            </w:r>
          </w:p>
        </w:tc>
      </w:tr>
      <w:tr w:rsidR="005A4EEC" w:rsidRPr="005A4EEC" w14:paraId="74A19350" w14:textId="77777777" w:rsidTr="005A4E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8EBB0" w14:textId="77777777" w:rsidR="00F85C99" w:rsidRPr="005A4EEC" w:rsidRDefault="00276FB2" w:rsidP="005A4EEC">
            <w:pPr>
              <w:spacing w:before="120" w:after="120"/>
              <w:jc w:val="left"/>
              <w:rPr>
                <w:b/>
              </w:rPr>
            </w:pPr>
            <w:r w:rsidRPr="005A4EEC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678B5" w14:textId="6B743A44" w:rsidR="00F85C99" w:rsidRPr="005A4EEC" w:rsidRDefault="00276FB2" w:rsidP="005A4EEC">
            <w:pPr>
              <w:spacing w:before="120" w:after="120"/>
              <w:rPr>
                <w:b/>
              </w:rPr>
            </w:pPr>
            <w:r w:rsidRPr="005A4EEC">
              <w:rPr>
                <w:b/>
              </w:rPr>
              <w:t>Descripción del contenido</w:t>
            </w:r>
            <w:r w:rsidR="005A4EEC" w:rsidRPr="005A4EEC">
              <w:rPr>
                <w:b/>
              </w:rPr>
              <w:t xml:space="preserve">: </w:t>
            </w:r>
            <w:r w:rsidR="005A4EEC" w:rsidRPr="005A4EEC">
              <w:t>E</w:t>
            </w:r>
            <w:r w:rsidRPr="005A4EEC">
              <w:t>l proyecto de Reglamento del Parlamento Europeo y del Consejo sobre los envases y residuos de envases notificado pretende armonizar las normas aplicables a la introducción de envases en el mercado de la UE al tiempo que fomenta su sostenibilidad y circularidad</w:t>
            </w:r>
            <w:r w:rsidR="005A4EEC" w:rsidRPr="005A4EEC">
              <w:t>. E</w:t>
            </w:r>
            <w:r w:rsidRPr="005A4EEC">
              <w:t xml:space="preserve">n él se establecen requisitos de sostenibilidad aplicables a la introducción de envases en el mercado de UE que abarcan la composición, el diseño (con miras a reducir los envases al mínimo) y la reciclabilidad de los envases, el uso de materias primas secundarias en los envases de plástico, la </w:t>
            </w:r>
            <w:proofErr w:type="spellStart"/>
            <w:r w:rsidRPr="005A4EEC">
              <w:t>compostabilidad</w:t>
            </w:r>
            <w:proofErr w:type="spellEnd"/>
            <w:r w:rsidRPr="005A4EEC">
              <w:t xml:space="preserve"> y los envases reutilizables</w:t>
            </w:r>
            <w:r w:rsidR="005A4EEC" w:rsidRPr="005A4EEC">
              <w:t>. P</w:t>
            </w:r>
            <w:r w:rsidRPr="005A4EEC">
              <w:t>ara reducir la generación de residuos de envases, se restringe el uso de algunos formatos de envasado y se establecen obligaciones para los agentes económicos y los Estados miembros, entre ellos objetivos en materia de reutilización de los envases y prevención de residuos</w:t>
            </w:r>
            <w:r w:rsidR="005A4EEC" w:rsidRPr="005A4EEC">
              <w:t>. E</w:t>
            </w:r>
            <w:r w:rsidRPr="005A4EEC">
              <w:t xml:space="preserve">n lo que respecta a los objetivos de reciclaje y las normas conexas para su cálculo, se mantienen las obligaciones de la legislación vigente de la UE relativa a los envases (Directiva 94/62/CE del Parlamento Europeo y del Consejo, de 20 de diciembre </w:t>
            </w:r>
            <w:r w:rsidR="005A4EEC" w:rsidRPr="005A4EEC">
              <w:t>de 1994</w:t>
            </w:r>
            <w:r w:rsidRPr="005A4EEC">
              <w:t>, relativa a los envases y residuos de envases).</w:t>
            </w:r>
          </w:p>
        </w:tc>
      </w:tr>
      <w:tr w:rsidR="005A4EEC" w:rsidRPr="005A4EEC" w14:paraId="4339E82E" w14:textId="77777777" w:rsidTr="005A4E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D62EA" w14:textId="77777777" w:rsidR="00F85C99" w:rsidRPr="005A4EEC" w:rsidRDefault="00276FB2" w:rsidP="005A4EEC">
            <w:pPr>
              <w:spacing w:before="120" w:after="120"/>
              <w:jc w:val="left"/>
              <w:rPr>
                <w:b/>
              </w:rPr>
            </w:pPr>
            <w:r w:rsidRPr="005A4EEC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898C7" w14:textId="571E8E1E" w:rsidR="00F85C99" w:rsidRPr="005A4EEC" w:rsidRDefault="00276FB2" w:rsidP="005A4EEC">
            <w:pPr>
              <w:spacing w:before="120" w:after="120"/>
              <w:rPr>
                <w:b/>
              </w:rPr>
            </w:pPr>
            <w:r w:rsidRPr="005A4EEC">
              <w:rPr>
                <w:b/>
              </w:rPr>
              <w:t>Objetivo y razón de ser, incluida, cuando proceda, la naturaleza de los problemas urgentes</w:t>
            </w:r>
            <w:r w:rsidR="005A4EEC" w:rsidRPr="005A4EEC">
              <w:rPr>
                <w:b/>
              </w:rPr>
              <w:t xml:space="preserve">: </w:t>
            </w:r>
            <w:r w:rsidR="005A4EEC" w:rsidRPr="005A4EEC">
              <w:t>p</w:t>
            </w:r>
            <w:r w:rsidRPr="005A4EEC">
              <w:t>revención del uso insostenible de los recursos y promoción de la economía circular</w:t>
            </w:r>
            <w:r w:rsidR="005A4EEC" w:rsidRPr="005A4EEC">
              <w:t>; p</w:t>
            </w:r>
            <w:r w:rsidRPr="005A4EEC">
              <w:t>rotección de la salud o seguridad humanas</w:t>
            </w:r>
            <w:r w:rsidR="005A4EEC" w:rsidRPr="005A4EEC">
              <w:t>; p</w:t>
            </w:r>
            <w:r w:rsidRPr="005A4EEC">
              <w:t>rotección del medio ambiente.</w:t>
            </w:r>
          </w:p>
        </w:tc>
      </w:tr>
      <w:tr w:rsidR="005A4EEC" w:rsidRPr="005A4EEC" w14:paraId="788EAA87" w14:textId="77777777" w:rsidTr="005A4E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CF70B" w14:textId="77777777" w:rsidR="00F85C99" w:rsidRPr="005A4EEC" w:rsidRDefault="00276FB2" w:rsidP="005A4EE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A4EEC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1B90D" w14:textId="77777777" w:rsidR="00827AAF" w:rsidRPr="005A4EEC" w:rsidRDefault="00276FB2" w:rsidP="005A4EEC">
            <w:pPr>
              <w:keepNext/>
              <w:keepLines/>
              <w:spacing w:before="120" w:after="120"/>
            </w:pPr>
            <w:r w:rsidRPr="005A4EEC">
              <w:rPr>
                <w:b/>
              </w:rPr>
              <w:t>Documentos pertinentes:</w:t>
            </w:r>
          </w:p>
          <w:p w14:paraId="32A82B37" w14:textId="1439598C" w:rsidR="00F85C99" w:rsidRPr="005A4EEC" w:rsidRDefault="00276FB2" w:rsidP="005A4EEC">
            <w:pPr>
              <w:keepNext/>
              <w:keepLines/>
              <w:spacing w:before="120" w:after="120"/>
            </w:pPr>
            <w:r w:rsidRPr="005A4EEC">
              <w:t xml:space="preserve">Directiva 94/62/CE del Parlamento Europeo y del Consejo, de 20 de diciembre </w:t>
            </w:r>
            <w:r w:rsidR="005A4EEC" w:rsidRPr="005A4EEC">
              <w:t>de 1994</w:t>
            </w:r>
            <w:r w:rsidRPr="005A4EEC">
              <w:t xml:space="preserve">, relativa a los envases y residuos de envases (DO L 365, de 31 de diciembre </w:t>
            </w:r>
            <w:r w:rsidR="005A4EEC" w:rsidRPr="005A4EEC">
              <w:t>de 1994</w:t>
            </w:r>
            <w:r w:rsidRPr="005A4EEC">
              <w:t>, página 10), modificada por última vez por la Directiva (UE) 2018/852 del Parlamento Europeo y del Consejo (</w:t>
            </w:r>
            <w:hyperlink r:id="rId8" w:history="1">
              <w:r w:rsidR="005A4EEC" w:rsidRPr="005A4EEC">
                <w:rPr>
                  <w:rStyle w:val="Hyperlink"/>
                </w:rPr>
                <w:t>EUR-Lex - 01994L0062-20180704 - ES - EUR-Lex (europa.eu)</w:t>
              </w:r>
            </w:hyperlink>
            <w:r w:rsidRPr="005A4EEC">
              <w:t>).</w:t>
            </w:r>
          </w:p>
        </w:tc>
      </w:tr>
      <w:tr w:rsidR="005A4EEC" w:rsidRPr="005A4EEC" w14:paraId="0928E96A" w14:textId="77777777" w:rsidTr="005A4E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0FD2C" w14:textId="77777777" w:rsidR="00EE3A11" w:rsidRPr="005A4EEC" w:rsidRDefault="00276FB2" w:rsidP="005A4EEC">
            <w:pPr>
              <w:spacing w:before="120" w:after="120"/>
              <w:jc w:val="left"/>
              <w:rPr>
                <w:b/>
              </w:rPr>
            </w:pPr>
            <w:r w:rsidRPr="005A4EEC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D4BD7" w14:textId="733E0407" w:rsidR="00EE3A11" w:rsidRPr="005A4EEC" w:rsidRDefault="00276FB2" w:rsidP="005A4EEC">
            <w:pPr>
              <w:spacing w:before="120" w:after="120"/>
            </w:pPr>
            <w:r w:rsidRPr="005A4EEC">
              <w:rPr>
                <w:b/>
              </w:rPr>
              <w:t>Fecha propuesta de adopción</w:t>
            </w:r>
            <w:r w:rsidR="005A4EEC" w:rsidRPr="005A4EEC">
              <w:rPr>
                <w:b/>
              </w:rPr>
              <w:t xml:space="preserve">: </w:t>
            </w:r>
            <w:r w:rsidR="005A4EEC" w:rsidRPr="005A4EEC">
              <w:t>2</w:t>
            </w:r>
            <w:r w:rsidRPr="005A4EEC">
              <w:t>025</w:t>
            </w:r>
          </w:p>
          <w:p w14:paraId="1A033C31" w14:textId="28E1A873" w:rsidR="00EE3A11" w:rsidRPr="005A4EEC" w:rsidRDefault="00276FB2" w:rsidP="005A4EEC">
            <w:pPr>
              <w:spacing w:after="120"/>
            </w:pPr>
            <w:r w:rsidRPr="005A4EEC">
              <w:rPr>
                <w:b/>
              </w:rPr>
              <w:t>Fecha propuesta de entrada en vigor</w:t>
            </w:r>
            <w:r w:rsidR="005A4EEC" w:rsidRPr="005A4EEC">
              <w:rPr>
                <w:b/>
              </w:rPr>
              <w:t xml:space="preserve">: </w:t>
            </w:r>
            <w:r w:rsidR="005A4EEC" w:rsidRPr="005A4EEC">
              <w:t>2</w:t>
            </w:r>
            <w:r w:rsidRPr="005A4EEC">
              <w:t>0 días después de la publicación en el Diario Oficial de la UE (las disposiciones se empezarán a aplicar 12 meses después de la fecha de entrada en vigor del Reglamento)</w:t>
            </w:r>
          </w:p>
        </w:tc>
      </w:tr>
      <w:tr w:rsidR="005A4EEC" w:rsidRPr="005A4EEC" w14:paraId="4DD1B90F" w14:textId="77777777" w:rsidTr="005A4E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F312C" w14:textId="77777777" w:rsidR="00F85C99" w:rsidRPr="005A4EEC" w:rsidRDefault="00276FB2" w:rsidP="005A4EEC">
            <w:pPr>
              <w:spacing w:before="120" w:after="120"/>
              <w:jc w:val="left"/>
              <w:rPr>
                <w:b/>
              </w:rPr>
            </w:pPr>
            <w:r w:rsidRPr="005A4EEC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E1828" w14:textId="71D92BB4" w:rsidR="00F85C99" w:rsidRPr="005A4EEC" w:rsidRDefault="00276FB2" w:rsidP="005A4EEC">
            <w:pPr>
              <w:spacing w:before="120" w:after="120"/>
            </w:pPr>
            <w:r w:rsidRPr="005A4EEC">
              <w:rPr>
                <w:b/>
              </w:rPr>
              <w:t>Fecha límite para la presentación de observaciones</w:t>
            </w:r>
            <w:r w:rsidR="005A4EEC" w:rsidRPr="005A4EEC">
              <w:rPr>
                <w:b/>
              </w:rPr>
              <w:t xml:space="preserve">: </w:t>
            </w:r>
            <w:r w:rsidR="005A4EEC" w:rsidRPr="005A4EEC">
              <w:t>9</w:t>
            </w:r>
            <w:r w:rsidRPr="005A4EEC">
              <w:t>0 días después de la fecha de notificación</w:t>
            </w:r>
          </w:p>
        </w:tc>
      </w:tr>
      <w:tr w:rsidR="0063429A" w:rsidRPr="005A4EEC" w14:paraId="022AF3B3" w14:textId="77777777" w:rsidTr="005A4EE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1B54381" w14:textId="77777777" w:rsidR="00F85C99" w:rsidRPr="005A4EEC" w:rsidRDefault="00276FB2" w:rsidP="005A4EE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A4EEC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9D2AD01" w14:textId="7E638052" w:rsidR="00827AAF" w:rsidRPr="005A4EEC" w:rsidRDefault="00276FB2" w:rsidP="005A4EEC">
            <w:pPr>
              <w:keepNext/>
              <w:keepLines/>
              <w:spacing w:before="120" w:after="120"/>
            </w:pPr>
            <w:r w:rsidRPr="005A4EEC">
              <w:rPr>
                <w:b/>
              </w:rPr>
              <w:t>Textos disponibles en</w:t>
            </w:r>
            <w:r w:rsidR="005A4EEC" w:rsidRPr="005A4EEC">
              <w:rPr>
                <w:b/>
              </w:rPr>
              <w:t>: S</w:t>
            </w:r>
            <w:r w:rsidRPr="005A4EEC">
              <w:rPr>
                <w:b/>
              </w:rPr>
              <w:t xml:space="preserve">ervicio nacional de información </w:t>
            </w:r>
            <w:r w:rsidR="005A4EEC" w:rsidRPr="005A4EEC">
              <w:rPr>
                <w:b/>
              </w:rPr>
              <w:t>[ ]</w:t>
            </w:r>
            <w:r w:rsidRPr="005A4EEC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5B9616B9" w14:textId="3243C8A5" w:rsidR="00EE3A11" w:rsidRPr="005A4EEC" w:rsidRDefault="00276FB2" w:rsidP="005A4EEC">
            <w:pPr>
              <w:keepNext/>
              <w:keepLines/>
              <w:rPr>
                <w:bCs/>
              </w:rPr>
            </w:pPr>
            <w:proofErr w:type="spellStart"/>
            <w:r w:rsidRPr="005A4EEC">
              <w:rPr>
                <w:i/>
                <w:iCs/>
              </w:rPr>
              <w:t>European</w:t>
            </w:r>
            <w:proofErr w:type="spellEnd"/>
            <w:r w:rsidRPr="005A4EEC">
              <w:rPr>
                <w:i/>
                <w:iCs/>
              </w:rPr>
              <w:t xml:space="preserve"> </w:t>
            </w:r>
            <w:proofErr w:type="spellStart"/>
            <w:r w:rsidRPr="005A4EEC">
              <w:rPr>
                <w:i/>
                <w:iCs/>
              </w:rPr>
              <w:t>Commission</w:t>
            </w:r>
            <w:proofErr w:type="spellEnd"/>
            <w:r w:rsidRPr="005A4EEC">
              <w:t xml:space="preserve"> (Comisión Europea)</w:t>
            </w:r>
          </w:p>
          <w:p w14:paraId="27F28CDA" w14:textId="5A19C277" w:rsidR="00EE3A11" w:rsidRPr="005A4EEC" w:rsidRDefault="00276FB2" w:rsidP="005A4EEC">
            <w:pPr>
              <w:keepNext/>
              <w:keepLines/>
              <w:rPr>
                <w:bCs/>
              </w:rPr>
            </w:pPr>
            <w:r w:rsidRPr="005A4EEC">
              <w:rPr>
                <w:i/>
                <w:iCs/>
              </w:rPr>
              <w:t xml:space="preserve">EU-TBT </w:t>
            </w:r>
            <w:proofErr w:type="spellStart"/>
            <w:r w:rsidRPr="005A4EEC">
              <w:rPr>
                <w:i/>
                <w:iCs/>
              </w:rPr>
              <w:t>Enquiry</w:t>
            </w:r>
            <w:proofErr w:type="spellEnd"/>
            <w:r w:rsidRPr="005A4EEC">
              <w:rPr>
                <w:i/>
                <w:iCs/>
              </w:rPr>
              <w:t xml:space="preserve"> Point</w:t>
            </w:r>
            <w:r w:rsidRPr="005A4EEC">
              <w:t xml:space="preserve"> (Servicio de Información </w:t>
            </w:r>
            <w:proofErr w:type="spellStart"/>
            <w:r w:rsidRPr="005A4EEC">
              <w:t>OTC</w:t>
            </w:r>
            <w:proofErr w:type="spellEnd"/>
            <w:r w:rsidRPr="005A4EEC">
              <w:t xml:space="preserve"> de la UE)</w:t>
            </w:r>
          </w:p>
          <w:p w14:paraId="1F125247" w14:textId="154CFE7D" w:rsidR="00EE3A11" w:rsidRPr="005A4EEC" w:rsidRDefault="00276FB2" w:rsidP="005A4EEC">
            <w:pPr>
              <w:keepNext/>
              <w:keepLines/>
              <w:rPr>
                <w:bCs/>
              </w:rPr>
            </w:pPr>
            <w:r w:rsidRPr="005A4EEC">
              <w:t>Fax</w:t>
            </w:r>
            <w:r w:rsidR="005A4EEC" w:rsidRPr="005A4EEC">
              <w:t>: +</w:t>
            </w:r>
            <w:r w:rsidRPr="005A4EEC">
              <w:t xml:space="preserve"> (32) 2 299 80 43</w:t>
            </w:r>
          </w:p>
          <w:p w14:paraId="1CEB216C" w14:textId="2621A5CF" w:rsidR="00EE3A11" w:rsidRPr="005A4EEC" w:rsidRDefault="00827AAF" w:rsidP="005A4EEC">
            <w:pPr>
              <w:keepNext/>
              <w:keepLines/>
              <w:rPr>
                <w:bCs/>
              </w:rPr>
            </w:pPr>
            <w:r w:rsidRPr="005A4EEC">
              <w:t xml:space="preserve">Correo electrónico: </w:t>
            </w:r>
            <w:hyperlink r:id="rId9" w:history="1">
              <w:r w:rsidR="005A4EEC" w:rsidRPr="005A4EEC">
                <w:rPr>
                  <w:rStyle w:val="Hyperlink"/>
                </w:rPr>
                <w:t>grow-eu-tbt@ec.europa.eu</w:t>
              </w:r>
            </w:hyperlink>
          </w:p>
          <w:p w14:paraId="036DE57C" w14:textId="1B553352" w:rsidR="00EE3A11" w:rsidRPr="005A4EEC" w:rsidRDefault="00276FB2" w:rsidP="005A4EEC">
            <w:pPr>
              <w:keepNext/>
              <w:keepLines/>
              <w:rPr>
                <w:bCs/>
              </w:rPr>
            </w:pPr>
            <w:r w:rsidRPr="005A4EEC">
              <w:t>El documento está disponible en el sitio web UE-</w:t>
            </w:r>
            <w:proofErr w:type="spellStart"/>
            <w:r w:rsidRPr="005A4EEC">
              <w:t>OTC</w:t>
            </w:r>
            <w:proofErr w:type="spellEnd"/>
            <w:r w:rsidRPr="005A4EEC">
              <w:t xml:space="preserve">: </w:t>
            </w:r>
            <w:hyperlink r:id="rId10" w:tgtFrame="_blank" w:history="1">
              <w:r w:rsidR="005A4EEC" w:rsidRPr="005A4EEC">
                <w:rPr>
                  <w:rStyle w:val="Hyperlink"/>
                </w:rPr>
                <w:t>http://ec.europa.eu/growth/tools-databases/tbt/en/</w:t>
              </w:r>
            </w:hyperlink>
          </w:p>
          <w:p w14:paraId="2A0970D5" w14:textId="49D684EF" w:rsidR="00EE3A11" w:rsidRPr="005A4EEC" w:rsidRDefault="00EE4338" w:rsidP="005A4EEC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rStyle w:val="Hyperlink"/>
              </w:rPr>
            </w:pPr>
            <w:hyperlink r:id="rId11" w:tgtFrame="_blank" w:history="1">
              <w:r w:rsidR="005A4EEC" w:rsidRPr="005A4EEC">
                <w:rPr>
                  <w:rStyle w:val="Hyperlink"/>
                </w:rPr>
                <w:t>https://eur-lex.europa.eu/legal-content/ES/TXT/?uri=CELEX:52022PC0677</w:t>
              </w:r>
            </w:hyperlink>
          </w:p>
          <w:p w14:paraId="473A6A5A" w14:textId="216177B3" w:rsidR="00EE3A11" w:rsidRPr="005A4EEC" w:rsidRDefault="00EE4338" w:rsidP="005A4EEC">
            <w:pPr>
              <w:keepNext/>
              <w:keepLines/>
              <w:rPr>
                <w:rStyle w:val="Hyperlink"/>
              </w:rPr>
            </w:pPr>
            <w:hyperlink r:id="rId12" w:tgtFrame="_blank" w:history="1">
              <w:r w:rsidR="005A4EEC" w:rsidRPr="005A4EEC">
                <w:rPr>
                  <w:rStyle w:val="Hyperlink"/>
                </w:rPr>
                <w:t>https://members.wto.org/crnattachments/2023/TBT/EEC/23_1367_00_e.pdf</w:t>
              </w:r>
            </w:hyperlink>
          </w:p>
          <w:p w14:paraId="270EE9C5" w14:textId="1544E71B" w:rsidR="00EE3A11" w:rsidRPr="005A4EEC" w:rsidRDefault="00EE4338" w:rsidP="005A4EEC">
            <w:pPr>
              <w:keepNext/>
              <w:keepLines/>
              <w:spacing w:after="120"/>
              <w:rPr>
                <w:rStyle w:val="Hyperlink"/>
              </w:rPr>
            </w:pPr>
            <w:hyperlink r:id="rId13" w:tgtFrame="_blank" w:history="1">
              <w:r w:rsidR="005A4EEC" w:rsidRPr="005A4EEC">
                <w:rPr>
                  <w:rStyle w:val="Hyperlink"/>
                </w:rPr>
                <w:t>https://members.wto.org/crnattachments/2023/TBT/EEC/23_1367_01_e.pdf</w:t>
              </w:r>
            </w:hyperlink>
          </w:p>
        </w:tc>
      </w:tr>
      <w:bookmarkEnd w:id="8"/>
    </w:tbl>
    <w:p w14:paraId="44D3D84B" w14:textId="77777777" w:rsidR="00EE3A11" w:rsidRPr="005A4EEC" w:rsidRDefault="00EE3A11" w:rsidP="005A4EEC"/>
    <w:sectPr w:rsidR="00EE3A11" w:rsidRPr="005A4EEC" w:rsidSect="005A4E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C25C" w14:textId="77777777" w:rsidR="00DD12AB" w:rsidRPr="005A4EEC" w:rsidRDefault="00276FB2">
      <w:bookmarkStart w:id="4" w:name="_Hlk129167196"/>
      <w:bookmarkStart w:id="5" w:name="_Hlk129167197"/>
      <w:r w:rsidRPr="005A4EEC">
        <w:separator/>
      </w:r>
      <w:bookmarkEnd w:id="4"/>
      <w:bookmarkEnd w:id="5"/>
    </w:p>
  </w:endnote>
  <w:endnote w:type="continuationSeparator" w:id="0">
    <w:p w14:paraId="2D3B2CFA" w14:textId="77777777" w:rsidR="00DD12AB" w:rsidRPr="005A4EEC" w:rsidRDefault="00276FB2">
      <w:bookmarkStart w:id="6" w:name="_Hlk129167198"/>
      <w:bookmarkStart w:id="7" w:name="_Hlk129167199"/>
      <w:r w:rsidRPr="005A4EE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D66F" w14:textId="38614354" w:rsidR="009239F7" w:rsidRPr="005A4EEC" w:rsidRDefault="005A4EEC" w:rsidP="005A4EEC">
    <w:pPr>
      <w:pStyle w:val="Footer"/>
    </w:pPr>
    <w:bookmarkStart w:id="13" w:name="_Hlk129167184"/>
    <w:bookmarkStart w:id="14" w:name="_Hlk129167185"/>
    <w:r w:rsidRPr="005A4EEC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9AD1" w14:textId="5CFF8436" w:rsidR="009239F7" w:rsidRPr="005A4EEC" w:rsidRDefault="005A4EEC" w:rsidP="005A4EEC">
    <w:pPr>
      <w:pStyle w:val="Footer"/>
    </w:pPr>
    <w:bookmarkStart w:id="15" w:name="_Hlk129167186"/>
    <w:bookmarkStart w:id="16" w:name="_Hlk129167187"/>
    <w:r w:rsidRPr="005A4EEC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F134" w14:textId="31EEB28C" w:rsidR="00EE3A11" w:rsidRPr="005A4EEC" w:rsidRDefault="005A4EEC" w:rsidP="005A4EEC">
    <w:pPr>
      <w:pStyle w:val="Footer"/>
    </w:pPr>
    <w:bookmarkStart w:id="19" w:name="_Hlk129167190"/>
    <w:bookmarkStart w:id="20" w:name="_Hlk129167191"/>
    <w:r w:rsidRPr="005A4EEC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8CEB" w14:textId="77777777" w:rsidR="00DD12AB" w:rsidRPr="005A4EEC" w:rsidRDefault="00276FB2">
      <w:bookmarkStart w:id="0" w:name="_Hlk129167192"/>
      <w:bookmarkStart w:id="1" w:name="_Hlk129167193"/>
      <w:r w:rsidRPr="005A4EEC">
        <w:separator/>
      </w:r>
      <w:bookmarkEnd w:id="0"/>
      <w:bookmarkEnd w:id="1"/>
    </w:p>
  </w:footnote>
  <w:footnote w:type="continuationSeparator" w:id="0">
    <w:p w14:paraId="728F9C9D" w14:textId="77777777" w:rsidR="00DD12AB" w:rsidRPr="005A4EEC" w:rsidRDefault="00276FB2">
      <w:bookmarkStart w:id="2" w:name="_Hlk129167194"/>
      <w:bookmarkStart w:id="3" w:name="_Hlk129167195"/>
      <w:r w:rsidRPr="005A4EE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8C6" w14:textId="77777777" w:rsidR="005A4EEC" w:rsidRPr="005A4EEC" w:rsidRDefault="005A4EEC" w:rsidP="005A4EEC">
    <w:pPr>
      <w:pStyle w:val="Header"/>
      <w:spacing w:after="240"/>
      <w:jc w:val="center"/>
    </w:pPr>
    <w:bookmarkStart w:id="9" w:name="_Hlk129167180"/>
    <w:bookmarkStart w:id="10" w:name="_Hlk129167181"/>
    <w:r w:rsidRPr="005A4EEC">
      <w:t>G/TBT/N/EU/953</w:t>
    </w:r>
  </w:p>
  <w:p w14:paraId="4E2A56E9" w14:textId="77777777" w:rsidR="005A4EEC" w:rsidRPr="005A4EEC" w:rsidRDefault="005A4EEC" w:rsidP="005A4EEC">
    <w:pPr>
      <w:pStyle w:val="Header"/>
      <w:pBdr>
        <w:bottom w:val="single" w:sz="4" w:space="1" w:color="auto"/>
      </w:pBdr>
      <w:jc w:val="center"/>
    </w:pPr>
    <w:r w:rsidRPr="005A4EEC">
      <w:t xml:space="preserve">- </w:t>
    </w:r>
    <w:r w:rsidRPr="005A4EEC">
      <w:fldChar w:fldCharType="begin"/>
    </w:r>
    <w:r w:rsidRPr="005A4EEC">
      <w:instrText xml:space="preserve"> PAGE  \* Arabic  \* MERGEFORMAT </w:instrText>
    </w:r>
    <w:r w:rsidRPr="005A4EEC">
      <w:fldChar w:fldCharType="separate"/>
    </w:r>
    <w:r w:rsidRPr="005A4EEC">
      <w:t>1</w:t>
    </w:r>
    <w:r w:rsidRPr="005A4EEC">
      <w:fldChar w:fldCharType="end"/>
    </w:r>
    <w:r w:rsidRPr="005A4EEC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CC85" w14:textId="77777777" w:rsidR="005A4EEC" w:rsidRPr="005A4EEC" w:rsidRDefault="005A4EEC" w:rsidP="005A4EEC">
    <w:pPr>
      <w:pStyle w:val="Header"/>
      <w:spacing w:after="240"/>
      <w:jc w:val="center"/>
    </w:pPr>
    <w:bookmarkStart w:id="11" w:name="_Hlk129167182"/>
    <w:bookmarkStart w:id="12" w:name="_Hlk129167183"/>
    <w:r w:rsidRPr="005A4EEC">
      <w:t>G/TBT/N/EU/953</w:t>
    </w:r>
  </w:p>
  <w:p w14:paraId="646908A5" w14:textId="77777777" w:rsidR="005A4EEC" w:rsidRPr="005A4EEC" w:rsidRDefault="005A4EEC" w:rsidP="005A4EEC">
    <w:pPr>
      <w:pStyle w:val="Header"/>
      <w:pBdr>
        <w:bottom w:val="single" w:sz="4" w:space="1" w:color="auto"/>
      </w:pBdr>
      <w:jc w:val="center"/>
    </w:pPr>
    <w:r w:rsidRPr="005A4EEC">
      <w:t xml:space="preserve">- </w:t>
    </w:r>
    <w:r w:rsidRPr="005A4EEC">
      <w:fldChar w:fldCharType="begin"/>
    </w:r>
    <w:r w:rsidRPr="005A4EEC">
      <w:instrText xml:space="preserve"> PAGE  \* Arabic  \* MERGEFORMAT </w:instrText>
    </w:r>
    <w:r w:rsidRPr="005A4EEC">
      <w:fldChar w:fldCharType="separate"/>
    </w:r>
    <w:r w:rsidRPr="005A4EEC">
      <w:t>1</w:t>
    </w:r>
    <w:r w:rsidRPr="005A4EEC">
      <w:fldChar w:fldCharType="end"/>
    </w:r>
    <w:r w:rsidRPr="005A4EEC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A4EEC" w:rsidRPr="005A4EEC" w14:paraId="107FF509" w14:textId="77777777" w:rsidTr="005A4E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3526CC" w14:textId="77777777" w:rsidR="005A4EEC" w:rsidRPr="005A4EEC" w:rsidRDefault="005A4EEC" w:rsidP="005A4EE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29167188"/>
          <w:bookmarkStart w:id="18" w:name="_Hlk1291671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1E250C" w14:textId="77777777" w:rsidR="005A4EEC" w:rsidRPr="005A4EEC" w:rsidRDefault="005A4EEC" w:rsidP="005A4E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A4EEC" w:rsidRPr="005A4EEC" w14:paraId="5DE7AB22" w14:textId="77777777" w:rsidTr="005A4E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E80C2D" w14:textId="148709E4" w:rsidR="005A4EEC" w:rsidRPr="005A4EEC" w:rsidRDefault="005A4EEC" w:rsidP="005A4EEC">
          <w:pPr>
            <w:jc w:val="left"/>
            <w:rPr>
              <w:rFonts w:eastAsia="Verdana" w:cs="Verdana"/>
              <w:szCs w:val="18"/>
            </w:rPr>
          </w:pPr>
          <w:r w:rsidRPr="005A4EEC">
            <w:rPr>
              <w:rFonts w:eastAsia="Verdana" w:cs="Verdana"/>
              <w:noProof/>
              <w:szCs w:val="18"/>
            </w:rPr>
            <w:drawing>
              <wp:inline distT="0" distB="0" distL="0" distR="0" wp14:anchorId="1B933B0F" wp14:editId="2994D40A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27CCC6" w14:textId="77777777" w:rsidR="005A4EEC" w:rsidRPr="005A4EEC" w:rsidRDefault="005A4EEC" w:rsidP="005A4E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A4EEC" w:rsidRPr="005A4EEC" w14:paraId="4FB775CB" w14:textId="77777777" w:rsidTr="005A4E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B9D2413" w14:textId="77777777" w:rsidR="005A4EEC" w:rsidRPr="005A4EEC" w:rsidRDefault="005A4EEC" w:rsidP="005A4E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7DB5E1" w14:textId="1D7C1202" w:rsidR="005A4EEC" w:rsidRPr="005A4EEC" w:rsidRDefault="005A4EEC" w:rsidP="005A4EEC">
          <w:pPr>
            <w:jc w:val="right"/>
            <w:rPr>
              <w:rFonts w:eastAsia="Verdana" w:cs="Verdana"/>
              <w:b/>
              <w:szCs w:val="18"/>
            </w:rPr>
          </w:pPr>
          <w:r w:rsidRPr="005A4EEC">
            <w:rPr>
              <w:b/>
              <w:szCs w:val="18"/>
            </w:rPr>
            <w:t>G/TBT/N/EU/953</w:t>
          </w:r>
        </w:p>
      </w:tc>
    </w:tr>
    <w:tr w:rsidR="005A4EEC" w:rsidRPr="005A4EEC" w14:paraId="19A321AF" w14:textId="77777777" w:rsidTr="005A4E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C2ECCBB" w14:textId="77777777" w:rsidR="005A4EEC" w:rsidRPr="005A4EEC" w:rsidRDefault="005A4EEC" w:rsidP="005A4E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70EF8F" w14:textId="362537FE" w:rsidR="005A4EEC" w:rsidRPr="005A4EEC" w:rsidRDefault="005A4EEC" w:rsidP="005A4EEC">
          <w:pPr>
            <w:jc w:val="right"/>
            <w:rPr>
              <w:rFonts w:eastAsia="Verdana" w:cs="Verdana"/>
              <w:szCs w:val="18"/>
            </w:rPr>
          </w:pPr>
          <w:r w:rsidRPr="005A4EEC">
            <w:rPr>
              <w:rFonts w:eastAsia="Verdana" w:cs="Verdana"/>
              <w:szCs w:val="18"/>
            </w:rPr>
            <w:t>27 de febrero de 2023</w:t>
          </w:r>
        </w:p>
      </w:tc>
    </w:tr>
    <w:tr w:rsidR="005A4EEC" w:rsidRPr="005A4EEC" w14:paraId="7F356432" w14:textId="77777777" w:rsidTr="005A4E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4FFD29" w14:textId="62B90E5D" w:rsidR="005A4EEC" w:rsidRPr="005A4EEC" w:rsidRDefault="005A4EEC" w:rsidP="005A4EEC">
          <w:pPr>
            <w:jc w:val="left"/>
            <w:rPr>
              <w:rFonts w:eastAsia="Verdana" w:cs="Verdana"/>
              <w:b/>
              <w:szCs w:val="18"/>
            </w:rPr>
          </w:pPr>
          <w:r w:rsidRPr="005A4EEC">
            <w:rPr>
              <w:rFonts w:eastAsia="Verdana" w:cs="Verdana"/>
              <w:color w:val="FF0000"/>
              <w:szCs w:val="18"/>
            </w:rPr>
            <w:t>(23</w:t>
          </w:r>
          <w:r w:rsidRPr="005A4EEC">
            <w:rPr>
              <w:rFonts w:eastAsia="Verdana" w:cs="Verdana"/>
              <w:color w:val="FF0000"/>
              <w:szCs w:val="18"/>
            </w:rPr>
            <w:noBreakHyphen/>
          </w:r>
          <w:r w:rsidR="00EE4338">
            <w:rPr>
              <w:rFonts w:eastAsia="Verdana" w:cs="Verdana"/>
              <w:color w:val="FF0000"/>
              <w:szCs w:val="18"/>
            </w:rPr>
            <w:t>1351</w:t>
          </w:r>
          <w:r w:rsidRPr="005A4E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AFC56A" w14:textId="5E08B529" w:rsidR="005A4EEC" w:rsidRPr="005A4EEC" w:rsidRDefault="005A4EEC" w:rsidP="005A4EEC">
          <w:pPr>
            <w:jc w:val="right"/>
            <w:rPr>
              <w:rFonts w:eastAsia="Verdana" w:cs="Verdana"/>
              <w:szCs w:val="18"/>
            </w:rPr>
          </w:pPr>
          <w:r w:rsidRPr="005A4EEC">
            <w:rPr>
              <w:rFonts w:eastAsia="Verdana" w:cs="Verdana"/>
              <w:szCs w:val="18"/>
            </w:rPr>
            <w:t xml:space="preserve">Página: </w:t>
          </w:r>
          <w:r w:rsidRPr="005A4EEC">
            <w:rPr>
              <w:rFonts w:eastAsia="Verdana" w:cs="Verdana"/>
              <w:szCs w:val="18"/>
            </w:rPr>
            <w:fldChar w:fldCharType="begin"/>
          </w:r>
          <w:r w:rsidRPr="005A4E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A4EEC">
            <w:rPr>
              <w:rFonts w:eastAsia="Verdana" w:cs="Verdana"/>
              <w:szCs w:val="18"/>
            </w:rPr>
            <w:fldChar w:fldCharType="separate"/>
          </w:r>
          <w:r w:rsidRPr="005A4EEC">
            <w:rPr>
              <w:rFonts w:eastAsia="Verdana" w:cs="Verdana"/>
              <w:szCs w:val="18"/>
            </w:rPr>
            <w:t>1</w:t>
          </w:r>
          <w:r w:rsidRPr="005A4EEC">
            <w:rPr>
              <w:rFonts w:eastAsia="Verdana" w:cs="Verdana"/>
              <w:szCs w:val="18"/>
            </w:rPr>
            <w:fldChar w:fldCharType="end"/>
          </w:r>
          <w:r w:rsidRPr="005A4EEC">
            <w:rPr>
              <w:rFonts w:eastAsia="Verdana" w:cs="Verdana"/>
              <w:szCs w:val="18"/>
            </w:rPr>
            <w:t>/</w:t>
          </w:r>
          <w:r w:rsidRPr="005A4EEC">
            <w:rPr>
              <w:rFonts w:eastAsia="Verdana" w:cs="Verdana"/>
              <w:szCs w:val="18"/>
            </w:rPr>
            <w:fldChar w:fldCharType="begin"/>
          </w:r>
          <w:r w:rsidRPr="005A4E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A4EEC">
            <w:rPr>
              <w:rFonts w:eastAsia="Verdana" w:cs="Verdana"/>
              <w:szCs w:val="18"/>
            </w:rPr>
            <w:fldChar w:fldCharType="separate"/>
          </w:r>
          <w:r w:rsidRPr="005A4EEC">
            <w:rPr>
              <w:rFonts w:eastAsia="Verdana" w:cs="Verdana"/>
              <w:szCs w:val="18"/>
            </w:rPr>
            <w:t>1</w:t>
          </w:r>
          <w:r w:rsidRPr="005A4EEC">
            <w:rPr>
              <w:rFonts w:eastAsia="Verdana" w:cs="Verdana"/>
              <w:szCs w:val="18"/>
            </w:rPr>
            <w:fldChar w:fldCharType="end"/>
          </w:r>
        </w:p>
      </w:tc>
    </w:tr>
    <w:tr w:rsidR="005A4EEC" w:rsidRPr="005A4EEC" w14:paraId="50EEB40D" w14:textId="77777777" w:rsidTr="005A4E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51D98F" w14:textId="08FC09C4" w:rsidR="005A4EEC" w:rsidRPr="005A4EEC" w:rsidRDefault="005A4EEC" w:rsidP="005A4EEC">
          <w:pPr>
            <w:jc w:val="left"/>
            <w:rPr>
              <w:rFonts w:eastAsia="Verdana" w:cs="Verdana"/>
              <w:szCs w:val="18"/>
            </w:rPr>
          </w:pPr>
          <w:r w:rsidRPr="005A4EE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514257A" w14:textId="4D974618" w:rsidR="005A4EEC" w:rsidRPr="005A4EEC" w:rsidRDefault="005A4EEC" w:rsidP="005A4EEC">
          <w:pPr>
            <w:jc w:val="right"/>
            <w:rPr>
              <w:rFonts w:eastAsia="Verdana" w:cs="Verdana"/>
              <w:bCs/>
              <w:szCs w:val="18"/>
            </w:rPr>
          </w:pPr>
          <w:r w:rsidRPr="005A4EE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3BE8DB41" w14:textId="77777777" w:rsidR="00ED54E0" w:rsidRPr="005A4EEC" w:rsidRDefault="00ED54E0" w:rsidP="005A4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97054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DDA6BB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83E218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26C2000"/>
    <w:numStyleLink w:val="LegalHeadings"/>
  </w:abstractNum>
  <w:abstractNum w:abstractNumId="13" w15:restartNumberingAfterBreak="0">
    <w:nsid w:val="57551E12"/>
    <w:multiLevelType w:val="multilevel"/>
    <w:tmpl w:val="126C20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364051">
    <w:abstractNumId w:val="9"/>
  </w:num>
  <w:num w:numId="2" w16cid:durableId="1074006958">
    <w:abstractNumId w:val="7"/>
  </w:num>
  <w:num w:numId="3" w16cid:durableId="1403021040">
    <w:abstractNumId w:val="6"/>
  </w:num>
  <w:num w:numId="4" w16cid:durableId="2136679137">
    <w:abstractNumId w:val="5"/>
  </w:num>
  <w:num w:numId="5" w16cid:durableId="954941462">
    <w:abstractNumId w:val="4"/>
  </w:num>
  <w:num w:numId="6" w16cid:durableId="1124881198">
    <w:abstractNumId w:val="13"/>
  </w:num>
  <w:num w:numId="7" w16cid:durableId="432170160">
    <w:abstractNumId w:val="12"/>
  </w:num>
  <w:num w:numId="8" w16cid:durableId="1628849399">
    <w:abstractNumId w:val="11"/>
  </w:num>
  <w:num w:numId="9" w16cid:durableId="771903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3357803">
    <w:abstractNumId w:val="14"/>
  </w:num>
  <w:num w:numId="11" w16cid:durableId="678897267">
    <w:abstractNumId w:val="8"/>
  </w:num>
  <w:num w:numId="12" w16cid:durableId="838424623">
    <w:abstractNumId w:val="3"/>
  </w:num>
  <w:num w:numId="13" w16cid:durableId="12414575">
    <w:abstractNumId w:val="2"/>
  </w:num>
  <w:num w:numId="14" w16cid:durableId="564411013">
    <w:abstractNumId w:val="1"/>
  </w:num>
  <w:num w:numId="15" w16cid:durableId="1708070004">
    <w:abstractNumId w:val="0"/>
  </w:num>
  <w:num w:numId="16" w16cid:durableId="1010916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76FB2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3603"/>
    <w:rsid w:val="00467032"/>
    <w:rsid w:val="0046754A"/>
    <w:rsid w:val="00473B57"/>
    <w:rsid w:val="0048173D"/>
    <w:rsid w:val="00482864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4EEC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429A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27AAF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0D51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D12AB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338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E0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A4E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A4E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A4E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A4EE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A4EE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A4EE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A4E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A4E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A4E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A4EE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A4EE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A4EE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A4EE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A4EE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A4EE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A4EE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A4EE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A4EE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A4E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A4E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A4EE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A4EE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A4EE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A4EE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A4EEC"/>
    <w:pPr>
      <w:numPr>
        <w:numId w:val="6"/>
      </w:numPr>
    </w:pPr>
  </w:style>
  <w:style w:type="paragraph" w:styleId="ListBullet">
    <w:name w:val="List Bullet"/>
    <w:basedOn w:val="Normal"/>
    <w:uiPriority w:val="1"/>
    <w:rsid w:val="005A4E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A4EE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A4EE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A4EE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A4EE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A4E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A4E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A4EE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A4E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A4EE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A4E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A4EE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A4EEC"/>
    <w:rPr>
      <w:szCs w:val="20"/>
    </w:rPr>
  </w:style>
  <w:style w:type="character" w:customStyle="1" w:styleId="EndnoteTextChar">
    <w:name w:val="Endnote Text Char"/>
    <w:link w:val="EndnoteText"/>
    <w:uiPriority w:val="49"/>
    <w:rsid w:val="005A4EE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A4E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A4EE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A4E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A4EE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A4EEC"/>
    <w:pPr>
      <w:ind w:left="567" w:right="567" w:firstLine="0"/>
    </w:pPr>
  </w:style>
  <w:style w:type="character" w:styleId="FootnoteReference">
    <w:name w:val="footnote reference"/>
    <w:uiPriority w:val="5"/>
    <w:rsid w:val="005A4EE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A4E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A4EE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A4E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4E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A4E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4E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4E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A4EE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A4E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A4EE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E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A4E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A4EE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A4E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4E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4EE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A4EE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A4EE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A4EE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A4E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A4EE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A4E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A4EE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A4EEC"/>
  </w:style>
  <w:style w:type="paragraph" w:styleId="BlockText">
    <w:name w:val="Block Text"/>
    <w:basedOn w:val="Normal"/>
    <w:uiPriority w:val="99"/>
    <w:semiHidden/>
    <w:unhideWhenUsed/>
    <w:rsid w:val="005A4E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4E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4E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4E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4E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4E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4EE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A4EE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A4E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4EE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A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EE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4EE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4EEC"/>
  </w:style>
  <w:style w:type="character" w:customStyle="1" w:styleId="DateChar">
    <w:name w:val="Date Char"/>
    <w:basedOn w:val="DefaultParagraphFont"/>
    <w:link w:val="Date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4E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EE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4E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A4EE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A4E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4E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A4EE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A4EE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4E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4EE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A4EE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A4EE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A4EE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A4EE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E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EE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A4EE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A4EE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A4EE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A4E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4E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4E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4E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4E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4E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4E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4E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4E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4E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A4EE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A4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A4E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A4EE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A4EEC"/>
    <w:rPr>
      <w:lang w:val="es-ES"/>
    </w:rPr>
  </w:style>
  <w:style w:type="paragraph" w:styleId="List">
    <w:name w:val="List"/>
    <w:basedOn w:val="Normal"/>
    <w:uiPriority w:val="99"/>
    <w:semiHidden/>
    <w:unhideWhenUsed/>
    <w:rsid w:val="005A4E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4E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4E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4E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4E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A4E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4E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4E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4E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4E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A4EE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A4EE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A4E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A4EE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A4E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A4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4EE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4E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4EE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A4E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4E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4E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4E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4EE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A4EE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A4E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4EE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A4E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A4EE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4E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4E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4EE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A4EE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A4EE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A4EE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A4E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A4EE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27A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7AA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7AA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7A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7AA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7AA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7AA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7A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7AA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7AA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7AA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7AA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7AA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7AA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7A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7A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7A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7A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7A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7A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7A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7A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7A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7A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7A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7A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7A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7A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7A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7A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7A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7A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7A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7A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7A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27AA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27A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7A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7A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7A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7A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7A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7A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27AA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7AA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7AA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7AA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7AA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7AA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7AA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7AA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7A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7AA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7AA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7AA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7AA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7AA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7AA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7AA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7A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7A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7A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7A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7A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7A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7A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7AA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7AA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7AA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7AA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7AA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7AA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7AA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27AA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27A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7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7A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7A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7A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27AA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827AA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827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27AAF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5A4EEC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S/TXT/?qid=1674833492839&amp;uri=CELEX%3A01994L0062-20180704" TargetMode="External"/><Relationship Id="rId13" Type="http://schemas.openxmlformats.org/officeDocument/2006/relationships/hyperlink" Target="https://members.wto.org/crnattachments/2023/TBT/EEC/23_1367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3/TBT/EEC/23_1367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ES/TXT/?uri=CELEX:52022PC067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c.europa.eu/growth/tools-databases/tbt/en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grow-eu-tbt@ec.europa.e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3</Pages>
  <Words>1077</Words>
  <Characters>6044</Characters>
  <Application>Microsoft Office Word</Application>
  <DocSecurity>0</DocSecurity>
  <Lines>118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2023-02-27T08:01:00Z</dcterms:created>
  <dcterms:modified xsi:type="dcterms:W3CDTF">2023-03-08T10:50:00Z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2e2def53-a95f-436c-a4d1-fc51429d6848</vt:lpwstr>
  </property>
  <property fmtid="{D5CDD505-2E9C-101B-9397-08002B2CF9AE}" pid="3" name="WTOCLASSIFICATION">
    <vt:lpwstr>WTO OFFICIAL</vt:lpwstr>
  </property>
</Properties>
</file>