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581F" w14:textId="77777777" w:rsidR="00B531D9" w:rsidRPr="003A3E55" w:rsidRDefault="006F12BF" w:rsidP="003A3E55">
      <w:pPr>
        <w:pStyle w:val="Title"/>
        <w:rPr>
          <w:caps w:val="0"/>
          <w:kern w:val="0"/>
        </w:rPr>
      </w:pPr>
      <w:r w:rsidRPr="003A3E55">
        <w:rPr>
          <w:caps w:val="0"/>
          <w:kern w:val="0"/>
        </w:rPr>
        <w:t>NOTIFICACIÓN</w:t>
      </w:r>
    </w:p>
    <w:p w14:paraId="563E9BBD" w14:textId="77777777" w:rsidR="00B531D9" w:rsidRPr="003A3E55" w:rsidRDefault="006F12BF" w:rsidP="003A3E55">
      <w:pPr>
        <w:jc w:val="center"/>
      </w:pPr>
      <w:r w:rsidRPr="003A3E55">
        <w:t>Se da traslado de la notificación siguiente de conformidad con el artículo 10.6.</w:t>
      </w:r>
    </w:p>
    <w:p w14:paraId="3AE992E1" w14:textId="77777777"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4167A8" w14:paraId="6DA91D53" w14:textId="77777777" w:rsidTr="0090284E">
        <w:tc>
          <w:tcPr>
            <w:tcW w:w="709" w:type="dxa"/>
            <w:tcBorders>
              <w:bottom w:val="single" w:sz="6" w:space="0" w:color="auto"/>
            </w:tcBorders>
            <w:shd w:val="clear" w:color="auto" w:fill="auto"/>
          </w:tcPr>
          <w:p w14:paraId="2DB486D3" w14:textId="77777777" w:rsidR="00A52F73" w:rsidRPr="003A3E55" w:rsidRDefault="006F12BF" w:rsidP="003A3E55">
            <w:pPr>
              <w:spacing w:before="120" w:after="120"/>
              <w:rPr>
                <w:b/>
              </w:rPr>
            </w:pPr>
            <w:r w:rsidRPr="003A3E55">
              <w:rPr>
                <w:b/>
              </w:rPr>
              <w:t>1.</w:t>
            </w:r>
          </w:p>
        </w:tc>
        <w:tc>
          <w:tcPr>
            <w:tcW w:w="8524" w:type="dxa"/>
            <w:tcBorders>
              <w:bottom w:val="single" w:sz="6" w:space="0" w:color="auto"/>
            </w:tcBorders>
            <w:shd w:val="clear" w:color="auto" w:fill="auto"/>
          </w:tcPr>
          <w:p w14:paraId="01A51244" w14:textId="77777777" w:rsidR="00A52F73" w:rsidRPr="003A3E55" w:rsidRDefault="006F12BF"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3A3E55" w:rsidRPr="00E764A5">
              <w:rPr>
                <w:bCs/>
                <w:caps/>
                <w:u w:val="single"/>
              </w:rPr>
              <w:t>Perú</w:t>
            </w:r>
            <w:bookmarkEnd w:id="1"/>
          </w:p>
          <w:p w14:paraId="34BA645D" w14:textId="77777777" w:rsidR="00A52F73" w:rsidRPr="003A3E55" w:rsidRDefault="006F12BF"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4167A8" w14:paraId="2DD77614" w14:textId="77777777" w:rsidTr="0090284E">
        <w:tc>
          <w:tcPr>
            <w:tcW w:w="709" w:type="dxa"/>
            <w:tcBorders>
              <w:top w:val="single" w:sz="6" w:space="0" w:color="auto"/>
              <w:bottom w:val="single" w:sz="6" w:space="0" w:color="auto"/>
            </w:tcBorders>
            <w:shd w:val="clear" w:color="auto" w:fill="auto"/>
          </w:tcPr>
          <w:p w14:paraId="0BD6E0D2" w14:textId="77777777" w:rsidR="00A52F73" w:rsidRPr="003A3E55" w:rsidRDefault="006F12BF"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14:paraId="4D7B841F" w14:textId="77777777" w:rsidR="00A52F73" w:rsidRPr="003A3E55" w:rsidRDefault="006F12BF" w:rsidP="00873EB4">
            <w:pPr>
              <w:spacing w:before="120" w:after="120"/>
              <w:jc w:val="left"/>
              <w:rPr>
                <w:bCs/>
              </w:rPr>
            </w:pPr>
            <w:bookmarkStart w:id="4" w:name="X_TBT_Reg_2A"/>
            <w:r w:rsidRPr="003A3E55">
              <w:rPr>
                <w:b/>
              </w:rPr>
              <w:t>Organismo responsable</w:t>
            </w:r>
            <w:bookmarkEnd w:id="4"/>
            <w:r w:rsidRPr="003A3E55">
              <w:rPr>
                <w:b/>
              </w:rPr>
              <w:t>:</w:t>
            </w:r>
            <w:r w:rsidR="00AF251E" w:rsidRPr="003A3E55">
              <w:t xml:space="preserve"> </w:t>
            </w:r>
            <w:bookmarkStart w:id="5" w:name="sps2a"/>
          </w:p>
          <w:p w14:paraId="16887D12" w14:textId="77777777" w:rsidR="00E813E9" w:rsidRPr="003A3E55" w:rsidRDefault="006F12BF" w:rsidP="00873EB4">
            <w:pPr>
              <w:spacing w:before="120" w:after="120"/>
              <w:jc w:val="left"/>
              <w:rPr>
                <w:bCs/>
              </w:rPr>
            </w:pPr>
            <w:r w:rsidRPr="003A3E55">
              <w:rPr>
                <w:bCs/>
              </w:rPr>
              <w:t>Ministerio de Salud</w:t>
            </w:r>
            <w:r w:rsidRPr="003A3E55">
              <w:rPr>
                <w:bCs/>
              </w:rPr>
              <w:br/>
              <w:t>Dirección General de Salud Ambiental e Inocuidad Alimentaria - DIGESA</w:t>
            </w:r>
            <w:r w:rsidRPr="003A3E55">
              <w:rPr>
                <w:bCs/>
              </w:rPr>
              <w:br/>
              <w:t>Calle Las Amapolas N° 350</w:t>
            </w:r>
            <w:r w:rsidRPr="003A3E55">
              <w:rPr>
                <w:bCs/>
              </w:rPr>
              <w:br/>
              <w:t>Urb. San Eugenio, Lince – Lima 14, Perú</w:t>
            </w:r>
            <w:r w:rsidRPr="003A3E55">
              <w:rPr>
                <w:bCs/>
              </w:rPr>
              <w:br/>
              <w:t>Tel.: (+51-1) 631-440</w:t>
            </w:r>
            <w:r w:rsidRPr="003A3E55">
              <w:rPr>
                <w:bCs/>
              </w:rPr>
              <w:br/>
              <w:t xml:space="preserve">Email: </w:t>
            </w:r>
            <w:hyperlink r:id="rId7" w:history="1">
              <w:r w:rsidRPr="003A3E55">
                <w:rPr>
                  <w:bCs/>
                  <w:color w:val="0000FF"/>
                  <w:u w:val="single"/>
                </w:rPr>
                <w:t>normalim@minsa.gob.pe</w:t>
              </w:r>
            </w:hyperlink>
            <w:bookmarkEnd w:id="5"/>
          </w:p>
          <w:p w14:paraId="0D32CCEC" w14:textId="77777777" w:rsidR="00A52F73" w:rsidRPr="003A3E55" w:rsidRDefault="006F12BF"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14:paraId="70EC21BE" w14:textId="77777777" w:rsidR="00E813E9" w:rsidRPr="003A3E55" w:rsidRDefault="006F12BF" w:rsidP="008849EF">
            <w:pPr>
              <w:spacing w:after="120"/>
              <w:jc w:val="left"/>
            </w:pPr>
            <w:r w:rsidRPr="003A3E55">
              <w:t>Ministerio de Comercio Exterior y Turismo – MINCETUR</w:t>
            </w:r>
            <w:r w:rsidRPr="003A3E55">
              <w:br/>
              <w:t>Calle Uno Oeste Nº 50 - Urb. Corpac - Lima 27 – Perú</w:t>
            </w:r>
            <w:r w:rsidRPr="003A3E55">
              <w:br/>
              <w:t>Tel.: (+51-1) 513-6100, Ext. 1223 y 1239</w:t>
            </w:r>
            <w:r w:rsidRPr="003A3E55">
              <w:br/>
              <w:t xml:space="preserve">Email: </w:t>
            </w:r>
            <w:hyperlink r:id="rId8" w:history="1">
              <w:r w:rsidRPr="003A3E55">
                <w:rPr>
                  <w:color w:val="0000FF"/>
                  <w:u w:val="single"/>
                </w:rPr>
                <w:t>otc@mincetur.gob.pe</w:t>
              </w:r>
            </w:hyperlink>
            <w:bookmarkEnd w:id="7"/>
          </w:p>
        </w:tc>
      </w:tr>
      <w:tr w:rsidR="004167A8" w14:paraId="213BA438" w14:textId="77777777" w:rsidTr="0090284E">
        <w:tc>
          <w:tcPr>
            <w:tcW w:w="709" w:type="dxa"/>
            <w:tcBorders>
              <w:top w:val="single" w:sz="6" w:space="0" w:color="auto"/>
              <w:bottom w:val="single" w:sz="6" w:space="0" w:color="auto"/>
            </w:tcBorders>
            <w:shd w:val="clear" w:color="auto" w:fill="auto"/>
          </w:tcPr>
          <w:p w14:paraId="3DD9A114" w14:textId="77777777" w:rsidR="00A52F73" w:rsidRPr="003A3E55" w:rsidRDefault="006F12BF"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14:paraId="61053E80" w14:textId="77777777" w:rsidR="00A52F73" w:rsidRPr="003A3E55" w:rsidRDefault="006F12BF"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 xml:space="preserve">], </w:t>
            </w:r>
            <w:bookmarkStart w:id="16" w:name="X_TBT_Reg_3E"/>
            <w:r w:rsidRPr="003A3E55">
              <w:rPr>
                <w:b/>
              </w:rPr>
              <w:t>o en virtud de</w:t>
            </w:r>
            <w:bookmarkStart w:id="17" w:name="tbt3f"/>
            <w:bookmarkEnd w:id="16"/>
            <w:bookmarkEnd w:id="17"/>
            <w:r w:rsidR="008E4B39">
              <w:rPr>
                <w:b/>
              </w:rPr>
              <w:t>:</w:t>
            </w:r>
            <w:r w:rsidR="006C0F04">
              <w:t xml:space="preserve"> </w:t>
            </w:r>
            <w:r w:rsidR="008E4B39" w:rsidRPr="006C0F04">
              <w:t xml:space="preserve"> </w:t>
            </w:r>
            <w:bookmarkStart w:id="18" w:name="tbt3e"/>
            <w:bookmarkEnd w:id="18"/>
          </w:p>
        </w:tc>
      </w:tr>
      <w:tr w:rsidR="004167A8" w14:paraId="2C4B7682" w14:textId="77777777" w:rsidTr="0090284E">
        <w:tc>
          <w:tcPr>
            <w:tcW w:w="709" w:type="dxa"/>
            <w:tcBorders>
              <w:top w:val="single" w:sz="6" w:space="0" w:color="auto"/>
              <w:bottom w:val="single" w:sz="6" w:space="0" w:color="auto"/>
            </w:tcBorders>
            <w:shd w:val="clear" w:color="auto" w:fill="auto"/>
          </w:tcPr>
          <w:p w14:paraId="0817CB85" w14:textId="77777777" w:rsidR="00A52F73" w:rsidRPr="003A3E55" w:rsidRDefault="006F12BF"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14:paraId="13E75242" w14:textId="77777777" w:rsidR="00A52F73" w:rsidRPr="003A3E55" w:rsidRDefault="006F12BF" w:rsidP="003A3E55">
            <w:pPr>
              <w:spacing w:before="120" w:after="120"/>
            </w:pPr>
            <w:bookmarkStart w:id="19"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19"/>
            <w:r w:rsidRPr="003A3E55">
              <w:rPr>
                <w:b/>
              </w:rPr>
              <w:t>:</w:t>
            </w:r>
            <w:r w:rsidR="00AF251E" w:rsidRPr="003A3E55">
              <w:t xml:space="preserve"> 1602.10.00.00 Preparaciones homogeneizadas; 1901.10 Preparaciones para la alimentación de lactantes o niños de corta edad, acondicionadas para la venta al por menor; 2005.10.00.00 Hortalizas homogeneizadas; 2007.10.00.00 Preparaciones homogeneizadas; 21.04.20.00.00 Preparaciones alimenticias compuestas homogeneizadas; 2106.90.80.00 Fórmulas no lácteas para niños de hasta 12 meses de edad</w:t>
            </w:r>
            <w:bookmarkStart w:id="20" w:name="sps3a"/>
            <w:bookmarkEnd w:id="20"/>
          </w:p>
        </w:tc>
      </w:tr>
      <w:tr w:rsidR="004167A8" w14:paraId="7928CBD7" w14:textId="77777777" w:rsidTr="0090284E">
        <w:tc>
          <w:tcPr>
            <w:tcW w:w="709" w:type="dxa"/>
            <w:tcBorders>
              <w:top w:val="single" w:sz="6" w:space="0" w:color="auto"/>
              <w:bottom w:val="single" w:sz="6" w:space="0" w:color="auto"/>
            </w:tcBorders>
            <w:shd w:val="clear" w:color="auto" w:fill="auto"/>
          </w:tcPr>
          <w:p w14:paraId="660E2C78" w14:textId="77777777" w:rsidR="00A52F73" w:rsidRPr="003A3E55" w:rsidRDefault="006F12BF"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14:paraId="48CCF03A" w14:textId="77777777" w:rsidR="00A52F73" w:rsidRPr="003A3E55" w:rsidRDefault="006F12BF" w:rsidP="003A3E55">
            <w:pPr>
              <w:spacing w:before="120" w:after="120"/>
            </w:pPr>
            <w:bookmarkStart w:id="21" w:name="X_TBT_Reg_5A"/>
            <w:r w:rsidRPr="003A3E55">
              <w:rPr>
                <w:b/>
              </w:rPr>
              <w:t>Título, número de páginas e idioma(s) del documento notificado</w:t>
            </w:r>
            <w:bookmarkEnd w:id="21"/>
            <w:r w:rsidRPr="003A3E55">
              <w:rPr>
                <w:b/>
              </w:rPr>
              <w:t>:</w:t>
            </w:r>
            <w:r w:rsidR="00AF251E" w:rsidRPr="003A3E55">
              <w:t xml:space="preserve"> Proyecto de Norma Sanitaria que regula el bisfenol A en los barnices y revestimientos empleados en envases para alimentos destinados a lactantes y niños pequeños (5 página(s), en Español)</w:t>
            </w:r>
            <w:bookmarkStart w:id="22" w:name="sps5a"/>
            <w:bookmarkStart w:id="23" w:name="sps5c"/>
            <w:bookmarkStart w:id="24" w:name="sps5b"/>
            <w:bookmarkEnd w:id="22"/>
            <w:bookmarkEnd w:id="23"/>
            <w:bookmarkEnd w:id="24"/>
          </w:p>
        </w:tc>
      </w:tr>
      <w:tr w:rsidR="004167A8" w14:paraId="6968B7F9" w14:textId="77777777" w:rsidTr="006F12BF">
        <w:trPr>
          <w:cantSplit/>
        </w:trPr>
        <w:tc>
          <w:tcPr>
            <w:tcW w:w="709" w:type="dxa"/>
            <w:tcBorders>
              <w:top w:val="single" w:sz="6" w:space="0" w:color="auto"/>
              <w:bottom w:val="single" w:sz="6" w:space="0" w:color="auto"/>
            </w:tcBorders>
            <w:shd w:val="clear" w:color="auto" w:fill="auto"/>
          </w:tcPr>
          <w:p w14:paraId="2D20F117" w14:textId="77777777" w:rsidR="00A52F73" w:rsidRPr="003A3E55" w:rsidRDefault="006F12BF" w:rsidP="003A3E55">
            <w:pPr>
              <w:spacing w:before="120" w:after="120"/>
              <w:rPr>
                <w:b/>
              </w:rPr>
            </w:pPr>
            <w:r w:rsidRPr="003A3E55">
              <w:rPr>
                <w:b/>
              </w:rPr>
              <w:lastRenderedPageBreak/>
              <w:t>6.</w:t>
            </w:r>
          </w:p>
        </w:tc>
        <w:tc>
          <w:tcPr>
            <w:tcW w:w="8524" w:type="dxa"/>
            <w:tcBorders>
              <w:top w:val="single" w:sz="6" w:space="0" w:color="auto"/>
              <w:bottom w:val="single" w:sz="6" w:space="0" w:color="auto"/>
            </w:tcBorders>
            <w:shd w:val="clear" w:color="auto" w:fill="auto"/>
          </w:tcPr>
          <w:p w14:paraId="63CDCE1A" w14:textId="77777777" w:rsidR="00A52F73" w:rsidRPr="003A3E55" w:rsidRDefault="006F12BF" w:rsidP="003A3E55">
            <w:pPr>
              <w:spacing w:before="120" w:after="120"/>
            </w:pPr>
            <w:bookmarkStart w:id="25" w:name="X_TBT_Reg_6A"/>
            <w:r w:rsidRPr="003A3E55">
              <w:rPr>
                <w:b/>
              </w:rPr>
              <w:t>Descripción del contenido</w:t>
            </w:r>
            <w:bookmarkEnd w:id="25"/>
            <w:r w:rsidRPr="003A3E55">
              <w:rPr>
                <w:b/>
              </w:rPr>
              <w:t>:</w:t>
            </w:r>
            <w:r w:rsidR="00AF251E" w:rsidRPr="003A3E55">
              <w:t xml:space="preserve"> La Norma sanitaria que regula el bisfenol A, en los barnices y revestimientos empleados en envases para alimentos destinados a lactantes y niños de corta edad; dispone que, los envases o material de los envases que entran en contacto con los alimentos destinados a los lactantes y niños de corta edad; preparados para lactantes, preparados complementarios o de continuación, alimentos elaborados a base de cereales o bebidas a base de leche y productos similares destinados específicamente a niños de corta edad, no contendrán barnices o revestimientos que contengan bisfenol A (BPA); siendo de obligatorio cumplimiento por los proveedores que elaboran e importan envases para alimentos destinados a lactantes y niños de corta edad, así como para los fabricantes o importadores de alimentos elaborados destinados a lactantes y niños de corta edad.</w:t>
            </w:r>
          </w:p>
        </w:tc>
      </w:tr>
      <w:tr w:rsidR="004167A8" w14:paraId="08093BE9" w14:textId="77777777" w:rsidTr="0090284E">
        <w:tc>
          <w:tcPr>
            <w:tcW w:w="709" w:type="dxa"/>
            <w:tcBorders>
              <w:top w:val="single" w:sz="6" w:space="0" w:color="auto"/>
              <w:bottom w:val="single" w:sz="6" w:space="0" w:color="auto"/>
            </w:tcBorders>
            <w:shd w:val="clear" w:color="auto" w:fill="auto"/>
          </w:tcPr>
          <w:p w14:paraId="7166C750" w14:textId="77777777" w:rsidR="00A52F73" w:rsidRPr="003A3E55" w:rsidRDefault="006F12BF"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14:paraId="0EF92B92" w14:textId="77777777" w:rsidR="00A52F73" w:rsidRPr="003A3E55" w:rsidRDefault="006F12BF" w:rsidP="00A5462B">
            <w:pPr>
              <w:spacing w:before="120" w:after="120"/>
            </w:pPr>
            <w:bookmarkStart w:id="26"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6"/>
            <w:r w:rsidRPr="003A3E55">
              <w:rPr>
                <w:b/>
              </w:rPr>
              <w:t>:</w:t>
            </w:r>
            <w:r w:rsidR="00412DAF" w:rsidRPr="003A3E55">
              <w:t xml:space="preserve"> Protección de la salud o seguridad humanas</w:t>
            </w:r>
            <w:bookmarkStart w:id="27" w:name="sps7f"/>
            <w:bookmarkEnd w:id="27"/>
          </w:p>
        </w:tc>
      </w:tr>
      <w:tr w:rsidR="004167A8" w14:paraId="32776B19" w14:textId="77777777" w:rsidTr="0090284E">
        <w:tc>
          <w:tcPr>
            <w:tcW w:w="709" w:type="dxa"/>
            <w:tcBorders>
              <w:top w:val="single" w:sz="6" w:space="0" w:color="auto"/>
              <w:bottom w:val="single" w:sz="6" w:space="0" w:color="auto"/>
            </w:tcBorders>
            <w:shd w:val="clear" w:color="auto" w:fill="auto"/>
          </w:tcPr>
          <w:p w14:paraId="654C1223" w14:textId="77777777" w:rsidR="00A52F73" w:rsidRPr="003A3E55" w:rsidRDefault="006F12BF"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14:paraId="3260C745" w14:textId="77777777" w:rsidR="00924FA9" w:rsidRPr="003A3E55" w:rsidRDefault="006F12BF" w:rsidP="007B2CFA">
            <w:pPr>
              <w:spacing w:before="120" w:after="120"/>
            </w:pPr>
            <w:bookmarkStart w:id="28" w:name="X_TBT_Reg_8A"/>
            <w:r w:rsidRPr="003A3E55">
              <w:rPr>
                <w:b/>
              </w:rPr>
              <w:t>Documentos pertinentes</w:t>
            </w:r>
            <w:bookmarkEnd w:id="28"/>
            <w:r w:rsidRPr="003A3E55">
              <w:rPr>
                <w:b/>
              </w:rPr>
              <w:t>:</w:t>
            </w:r>
            <w:r w:rsidR="00AF251E" w:rsidRPr="003A3E55">
              <w:t xml:space="preserve"> </w:t>
            </w:r>
          </w:p>
          <w:p w14:paraId="45C973E3" w14:textId="77777777" w:rsidR="00E813E9" w:rsidRPr="003A3E55" w:rsidRDefault="006F12BF" w:rsidP="007B2CFA">
            <w:pPr>
              <w:numPr>
                <w:ilvl w:val="0"/>
                <w:numId w:val="16"/>
              </w:numPr>
              <w:spacing w:before="120" w:after="120"/>
            </w:pPr>
            <w:r w:rsidRPr="003A3E55">
              <w:t>Ley Nº 26842, Ley General de Salud y sus modificatorias.</w:t>
            </w:r>
          </w:p>
          <w:p w14:paraId="5C6FB2CA" w14:textId="77777777" w:rsidR="00E813E9" w:rsidRPr="003A3E55" w:rsidRDefault="006F12BF" w:rsidP="007B2CFA">
            <w:pPr>
              <w:numPr>
                <w:ilvl w:val="0"/>
                <w:numId w:val="16"/>
              </w:numPr>
              <w:spacing w:before="120" w:after="120"/>
            </w:pPr>
            <w:r w:rsidRPr="003A3E55">
              <w:t>Decreto Legislativo N° 1062, que aprueba la Ley de Inocuidad de los Alimentos.</w:t>
            </w:r>
          </w:p>
          <w:p w14:paraId="442ADBBB" w14:textId="77777777" w:rsidR="00E813E9" w:rsidRPr="003A3E55" w:rsidRDefault="006F12BF" w:rsidP="007B2CFA">
            <w:pPr>
              <w:numPr>
                <w:ilvl w:val="0"/>
                <w:numId w:val="16"/>
              </w:numPr>
              <w:spacing w:before="120" w:after="120"/>
            </w:pPr>
            <w:r w:rsidRPr="003A3E55">
              <w:t>Decreto Legislativo N° 1161, Ley de Organización y Funciones del Ministerio de Salud, y su modificatoria.</w:t>
            </w:r>
          </w:p>
          <w:p w14:paraId="3B3C6170" w14:textId="77777777" w:rsidR="00E813E9" w:rsidRPr="003A3E55" w:rsidRDefault="006F12BF" w:rsidP="007B2CFA">
            <w:pPr>
              <w:numPr>
                <w:ilvl w:val="0"/>
                <w:numId w:val="16"/>
              </w:numPr>
              <w:spacing w:before="120" w:after="120"/>
            </w:pPr>
            <w:r w:rsidRPr="003A3E55">
              <w:t>Decreto Supremo N° 008-2017-SA, Reglamento de Organización y Funciones del Ministerio de Salud, y sus modificatorias.</w:t>
            </w:r>
          </w:p>
          <w:p w14:paraId="1672CAA0" w14:textId="77777777" w:rsidR="00E813E9" w:rsidRPr="003A3E55" w:rsidRDefault="006F12BF" w:rsidP="007B2CFA">
            <w:pPr>
              <w:numPr>
                <w:ilvl w:val="0"/>
                <w:numId w:val="16"/>
              </w:numPr>
              <w:spacing w:before="120" w:after="120"/>
            </w:pPr>
            <w:r w:rsidRPr="003A3E55">
              <w:t>Decreto Supremo N° 007-98-SA, Reglamento sobre Vigilancia y Control Sanitario de Alimentos y Bebidas, y sus modificatorias.</w:t>
            </w:r>
          </w:p>
          <w:p w14:paraId="4CD413CC" w14:textId="77777777" w:rsidR="00E813E9" w:rsidRPr="003A3E55" w:rsidRDefault="006F12BF" w:rsidP="007B2CFA">
            <w:pPr>
              <w:numPr>
                <w:ilvl w:val="0"/>
                <w:numId w:val="16"/>
              </w:numPr>
              <w:spacing w:before="120" w:after="120"/>
            </w:pPr>
            <w:r w:rsidRPr="003A3E55">
              <w:t>Decreto Supremo N° 034-2008-AG, que aprueba el Reglamento del Decreto Legislativo N° 1062, Ley de Inocuidad de los Alimentos.</w:t>
            </w:r>
          </w:p>
          <w:p w14:paraId="7F08515F" w14:textId="77777777" w:rsidR="00E813E9" w:rsidRPr="003A3E55" w:rsidRDefault="006F12BF" w:rsidP="007B2CFA">
            <w:pPr>
              <w:numPr>
                <w:ilvl w:val="0"/>
                <w:numId w:val="16"/>
              </w:numPr>
              <w:spacing w:before="120" w:after="120"/>
            </w:pPr>
            <w:r w:rsidRPr="003A3E55">
              <w:t xml:space="preserve">FAO/OMS, 1981. Codex Alimentarius: Norma para alimentos elaborados a base de cereales para lactantes y niños pequeños. CXS 74-1981 (revisada en 2006; enmendada en 2017 y 2019). </w:t>
            </w:r>
          </w:p>
          <w:p w14:paraId="7D26A8A9" w14:textId="77777777" w:rsidR="00E813E9" w:rsidRPr="003A3E55" w:rsidRDefault="006F12BF" w:rsidP="007B2CFA">
            <w:pPr>
              <w:numPr>
                <w:ilvl w:val="0"/>
                <w:numId w:val="16"/>
              </w:numPr>
              <w:spacing w:before="120" w:after="120"/>
            </w:pPr>
            <w:r w:rsidRPr="003A3E55">
              <w:t>FAO/OMS, 1981. Codex Alimentarius: Norma para alimentos envasados para lactantes y niños. CODEX STAN 73-1981* (enmendada en 1983, 1985, 1987, 1989 y 2017). *Anteriormente CAC/RS 73-1976.</w:t>
            </w:r>
          </w:p>
          <w:p w14:paraId="4F21650A" w14:textId="77777777" w:rsidR="007B2CFA" w:rsidRDefault="006F12BF" w:rsidP="007B2CFA">
            <w:pPr>
              <w:numPr>
                <w:ilvl w:val="0"/>
                <w:numId w:val="16"/>
              </w:numPr>
              <w:spacing w:before="120" w:after="120"/>
            </w:pPr>
            <w:r w:rsidRPr="003A3E55">
              <w:t>Reporte de la reunión de expertos ad hoc para evaluar la seguridad del BPA realizada por la Organización de las Naciones Unidas para la Agricultura y la Alimentación (FAO) y la Organización Mundial de la Salud (OMS), apoyada por la Autoridad Europea de Seguridad Alimentaria, Health Canada, el Instituto Nacional de Ciencias de la Salud Ambiental de los Estados Unidos de América (EE. UU.) y los Estados Unidos Administración de Alimentos y Medicamentos (FDA). Disponible en:</w:t>
            </w:r>
          </w:p>
          <w:p w14:paraId="4F2DFE08" w14:textId="77777777" w:rsidR="00E813E9" w:rsidRPr="003A3E55" w:rsidRDefault="003540EA" w:rsidP="007B2CFA">
            <w:pPr>
              <w:spacing w:before="120" w:after="120"/>
              <w:ind w:left="720"/>
            </w:pPr>
            <w:hyperlink r:id="rId9" w:history="1">
              <w:r w:rsidR="007B2CFA" w:rsidRPr="003A3E55">
                <w:rPr>
                  <w:color w:val="0000FF"/>
                  <w:u w:val="single"/>
                </w:rPr>
                <w:t>https://apps.who.int/iris/bitstream/handle/10665/44624/97892141564274_eng.pdf?sequence=1&amp;isAllowed=y</w:t>
              </w:r>
            </w:hyperlink>
          </w:p>
        </w:tc>
      </w:tr>
      <w:tr w:rsidR="004167A8" w14:paraId="5F9B208E" w14:textId="77777777" w:rsidTr="007E3474">
        <w:trPr>
          <w:cantSplit/>
        </w:trPr>
        <w:tc>
          <w:tcPr>
            <w:tcW w:w="709" w:type="dxa"/>
            <w:tcBorders>
              <w:top w:val="single" w:sz="6" w:space="0" w:color="auto"/>
              <w:bottom w:val="single" w:sz="6" w:space="0" w:color="auto"/>
            </w:tcBorders>
            <w:shd w:val="clear" w:color="auto" w:fill="auto"/>
          </w:tcPr>
          <w:p w14:paraId="2A547108" w14:textId="77777777" w:rsidR="00AF251E" w:rsidRPr="003A3E55" w:rsidRDefault="006F12BF"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14:paraId="0480F64F" w14:textId="77777777" w:rsidR="00AF251E" w:rsidRPr="003A3E55" w:rsidRDefault="006F12BF" w:rsidP="009F7158">
            <w:pPr>
              <w:spacing w:before="120" w:after="120"/>
              <w:rPr>
                <w:bCs/>
              </w:rPr>
            </w:pPr>
            <w:bookmarkStart w:id="29" w:name="X_TBT_Reg_9A"/>
            <w:r w:rsidRPr="003A3E55">
              <w:rPr>
                <w:b/>
              </w:rPr>
              <w:t>Fecha propuesta de adopción</w:t>
            </w:r>
            <w:bookmarkEnd w:id="29"/>
            <w:r w:rsidRPr="003A3E55">
              <w:rPr>
                <w:b/>
              </w:rPr>
              <w:t>:</w:t>
            </w:r>
            <w:r w:rsidRPr="006A63E9">
              <w:t xml:space="preserve"> </w:t>
            </w:r>
            <w:bookmarkStart w:id="30" w:name="sps10a"/>
            <w:bookmarkStart w:id="31" w:name="sps10b"/>
            <w:bookmarkEnd w:id="30"/>
            <w:r w:rsidRPr="003A3E55">
              <w:rPr>
                <w:bCs/>
              </w:rPr>
              <w:t>180 días a partir de su publicación</w:t>
            </w:r>
            <w:bookmarkEnd w:id="31"/>
          </w:p>
          <w:p w14:paraId="6275E33A" w14:textId="77777777" w:rsidR="00AF251E" w:rsidRPr="003A3E55" w:rsidRDefault="006F12BF" w:rsidP="009F7158">
            <w:pPr>
              <w:spacing w:after="120"/>
              <w:rPr>
                <w:b/>
              </w:rPr>
            </w:pPr>
            <w:bookmarkStart w:id="32" w:name="X_TBT_Reg_9B"/>
            <w:r w:rsidRPr="003A3E55">
              <w:rPr>
                <w:b/>
              </w:rPr>
              <w:t>Fecha propuesta de entrada en vigor</w:t>
            </w:r>
            <w:bookmarkEnd w:id="32"/>
            <w:r w:rsidRPr="003A3E55">
              <w:rPr>
                <w:b/>
              </w:rPr>
              <w:t>:</w:t>
            </w:r>
            <w:r w:rsidRPr="006A63E9">
              <w:t xml:space="preserve"> </w:t>
            </w:r>
            <w:bookmarkStart w:id="33" w:name="sps11a"/>
            <w:bookmarkStart w:id="34" w:name="sps11b"/>
            <w:bookmarkEnd w:id="33"/>
            <w:r w:rsidRPr="003A3E55">
              <w:rPr>
                <w:bCs/>
              </w:rPr>
              <w:t>6 meses a partir de la fecha de adopción</w:t>
            </w:r>
            <w:bookmarkEnd w:id="34"/>
          </w:p>
        </w:tc>
      </w:tr>
      <w:tr w:rsidR="004167A8" w14:paraId="11A97016" w14:textId="77777777" w:rsidTr="0090284E">
        <w:tc>
          <w:tcPr>
            <w:tcW w:w="709" w:type="dxa"/>
            <w:tcBorders>
              <w:top w:val="single" w:sz="6" w:space="0" w:color="auto"/>
              <w:bottom w:val="single" w:sz="6" w:space="0" w:color="auto"/>
            </w:tcBorders>
            <w:shd w:val="clear" w:color="auto" w:fill="auto"/>
          </w:tcPr>
          <w:p w14:paraId="5D3CC46C" w14:textId="77777777" w:rsidR="00A52F73" w:rsidRPr="003A3E55" w:rsidRDefault="006F12BF"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14:paraId="7F483F18" w14:textId="77777777" w:rsidR="00A52F73" w:rsidRPr="003A3E55" w:rsidRDefault="006F12BF" w:rsidP="003A3E55">
            <w:pPr>
              <w:spacing w:before="120" w:after="120"/>
            </w:pPr>
            <w:bookmarkStart w:id="35" w:name="X_TBT_Reg_10A"/>
            <w:r w:rsidRPr="003A3E55">
              <w:rPr>
                <w:b/>
              </w:rPr>
              <w:t>Fecha límite para la presentación de observaciones</w:t>
            </w:r>
            <w:bookmarkEnd w:id="35"/>
            <w:r w:rsidRPr="003A3E55">
              <w:rPr>
                <w:b/>
              </w:rPr>
              <w:t>:</w:t>
            </w:r>
            <w:r w:rsidR="00AF251E" w:rsidRPr="003A3E55">
              <w:t xml:space="preserve"> 60 días desde la notificación</w:t>
            </w:r>
            <w:bookmarkStart w:id="36" w:name="sps12a"/>
            <w:bookmarkEnd w:id="36"/>
          </w:p>
        </w:tc>
      </w:tr>
      <w:tr w:rsidR="004167A8" w14:paraId="364CA998" w14:textId="77777777" w:rsidTr="006F12BF">
        <w:trPr>
          <w:cantSplit/>
        </w:trPr>
        <w:tc>
          <w:tcPr>
            <w:tcW w:w="709" w:type="dxa"/>
            <w:tcBorders>
              <w:top w:val="single" w:sz="6" w:space="0" w:color="auto"/>
            </w:tcBorders>
            <w:shd w:val="clear" w:color="auto" w:fill="auto"/>
          </w:tcPr>
          <w:p w14:paraId="2C3DB2EB" w14:textId="77777777" w:rsidR="00A52F73" w:rsidRPr="003A3E55" w:rsidRDefault="006F12BF" w:rsidP="00533399">
            <w:pPr>
              <w:spacing w:before="120" w:after="120"/>
              <w:rPr>
                <w:b/>
              </w:rPr>
            </w:pPr>
            <w:r w:rsidRPr="003A3E55">
              <w:rPr>
                <w:b/>
              </w:rPr>
              <w:lastRenderedPageBreak/>
              <w:t>11.</w:t>
            </w:r>
          </w:p>
        </w:tc>
        <w:tc>
          <w:tcPr>
            <w:tcW w:w="8524" w:type="dxa"/>
            <w:tcBorders>
              <w:top w:val="single" w:sz="6" w:space="0" w:color="auto"/>
            </w:tcBorders>
            <w:shd w:val="clear" w:color="auto" w:fill="auto"/>
          </w:tcPr>
          <w:p w14:paraId="56059A51" w14:textId="77777777" w:rsidR="00A52F73" w:rsidRPr="003A3E55" w:rsidRDefault="006F12BF" w:rsidP="00533399">
            <w:pPr>
              <w:spacing w:before="120" w:after="120"/>
            </w:pPr>
            <w:bookmarkStart w:id="37" w:name="X_TBT_Reg_11A"/>
            <w:r w:rsidRPr="003A3E55">
              <w:rPr>
                <w:b/>
              </w:rPr>
              <w:t>Textos disponibles en:</w:t>
            </w:r>
            <w:r w:rsidR="00AF251E" w:rsidRPr="003A3E55">
              <w:rPr>
                <w:b/>
              </w:rPr>
              <w:t xml:space="preserve"> </w:t>
            </w:r>
            <w:r w:rsidRPr="003A3E55">
              <w:rPr>
                <w:b/>
              </w:rPr>
              <w:t>Servicio nacional de información [</w:t>
            </w:r>
            <w:bookmarkStart w:id="38" w:name="sps13b"/>
            <w:r w:rsidRPr="003A3E55">
              <w:rPr>
                <w:b/>
              </w:rPr>
              <w:t>X</w:t>
            </w:r>
            <w:bookmarkEnd w:id="38"/>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7"/>
            <w:r w:rsidRPr="003A3E55">
              <w:rPr>
                <w:b/>
              </w:rPr>
              <w:t>:</w:t>
            </w:r>
            <w:r w:rsidR="00AF251E" w:rsidRPr="003A3E55">
              <w:t xml:space="preserve"> </w:t>
            </w:r>
            <w:bookmarkStart w:id="39" w:name="sps13c"/>
          </w:p>
          <w:p w14:paraId="2FFDF110" w14:textId="77777777" w:rsidR="007B2CFA" w:rsidRDefault="006F12BF" w:rsidP="00533399">
            <w:pPr>
              <w:spacing w:before="120" w:after="120"/>
              <w:jc w:val="left"/>
              <w:rPr>
                <w:bCs/>
              </w:rPr>
            </w:pPr>
            <w:r w:rsidRPr="003A3E55">
              <w:rPr>
                <w:bCs/>
              </w:rPr>
              <w:t>Ministerio de Comercio Exterior y Turismo – MINCETUR</w:t>
            </w:r>
            <w:r w:rsidRPr="003A3E55">
              <w:rPr>
                <w:bCs/>
              </w:rPr>
              <w:br/>
              <w:t>Calle Uno Oeste Nº 50 - Urb. Corpac - Lima 27 – Perú</w:t>
            </w:r>
            <w:r w:rsidRPr="003A3E55">
              <w:rPr>
                <w:bCs/>
              </w:rPr>
              <w:br/>
              <w:t>Tel.: (+51-1) 513-6100, Ext. 1223 y 1239</w:t>
            </w:r>
            <w:r w:rsidRPr="003A3E55">
              <w:rPr>
                <w:bCs/>
              </w:rPr>
              <w:br/>
              <w:t xml:space="preserve">Email: </w:t>
            </w:r>
            <w:hyperlink r:id="rId10" w:history="1">
              <w:r w:rsidRPr="003A3E55">
                <w:rPr>
                  <w:bCs/>
                  <w:color w:val="0000FF"/>
                  <w:u w:val="single"/>
                </w:rPr>
                <w:t>otc@mincetur.gob.pe</w:t>
              </w:r>
            </w:hyperlink>
          </w:p>
          <w:p w14:paraId="3C15D246" w14:textId="77777777" w:rsidR="00E813E9" w:rsidRPr="003A3E55" w:rsidRDefault="006F12BF" w:rsidP="00533399">
            <w:pPr>
              <w:spacing w:before="120" w:after="120"/>
              <w:jc w:val="left"/>
              <w:rPr>
                <w:bCs/>
              </w:rPr>
            </w:pPr>
            <w:r w:rsidRPr="003A3E55">
              <w:rPr>
                <w:bCs/>
              </w:rPr>
              <w:t>Ministerio de Salud</w:t>
            </w:r>
            <w:r w:rsidRPr="003A3E55">
              <w:rPr>
                <w:bCs/>
              </w:rPr>
              <w:br/>
              <w:t>Dirección General de Salud Ambiental e Inocuidad Alimentaria - DIGESA</w:t>
            </w:r>
            <w:r w:rsidRPr="003A3E55">
              <w:rPr>
                <w:bCs/>
              </w:rPr>
              <w:br/>
              <w:t>Calle Las Amapolas N° 350</w:t>
            </w:r>
            <w:r w:rsidRPr="003A3E55">
              <w:rPr>
                <w:bCs/>
              </w:rPr>
              <w:br/>
              <w:t>Urb. San Eugenio, Lince – Lima 14, Perú</w:t>
            </w:r>
            <w:r w:rsidRPr="003A3E55">
              <w:rPr>
                <w:bCs/>
              </w:rPr>
              <w:br/>
              <w:t>Tel.: (+51-1) 631-440</w:t>
            </w:r>
            <w:r w:rsidRPr="003A3E55">
              <w:rPr>
                <w:bCs/>
              </w:rPr>
              <w:br/>
              <w:t xml:space="preserve">Email: </w:t>
            </w:r>
            <w:hyperlink r:id="rId11" w:history="1">
              <w:r w:rsidRPr="003A3E55">
                <w:rPr>
                  <w:bCs/>
                  <w:color w:val="0000FF"/>
                  <w:u w:val="single"/>
                </w:rPr>
                <w:t>normalim@minsa.gob.pe</w:t>
              </w:r>
            </w:hyperlink>
          </w:p>
          <w:p w14:paraId="2C308AA4" w14:textId="77777777" w:rsidR="007B2CFA" w:rsidRDefault="003540EA" w:rsidP="00533399">
            <w:pPr>
              <w:keepNext/>
              <w:keepLines/>
              <w:spacing w:before="120" w:after="120"/>
              <w:jc w:val="left"/>
              <w:rPr>
                <w:bCs/>
              </w:rPr>
            </w:pPr>
            <w:hyperlink r:id="rId12" w:history="1">
              <w:r w:rsidR="006F12BF">
                <w:rPr>
                  <w:rStyle w:val="Hyperlink"/>
                  <w:bCs/>
                </w:rPr>
                <w:t>http://www.digesa.minsa.gob.pe/norma_consulta/RM_%20712-2021-MINSA.pdf</w:t>
              </w:r>
            </w:hyperlink>
          </w:p>
          <w:p w14:paraId="5D438CCB" w14:textId="77777777" w:rsidR="007B2CFA" w:rsidRDefault="003540EA" w:rsidP="00533399">
            <w:pPr>
              <w:keepNext/>
              <w:keepLines/>
              <w:spacing w:before="120" w:after="120"/>
              <w:jc w:val="left"/>
              <w:rPr>
                <w:bCs/>
              </w:rPr>
            </w:pPr>
            <w:hyperlink r:id="rId13" w:history="1">
              <w:r w:rsidR="006F12BF" w:rsidRPr="003A3E55">
                <w:rPr>
                  <w:bCs/>
                  <w:color w:val="0000FF"/>
                  <w:u w:val="single"/>
                </w:rPr>
                <w:t>http://extranet.comunidadandina.org/sirt/public/index.aspx</w:t>
              </w:r>
            </w:hyperlink>
          </w:p>
          <w:p w14:paraId="037D3213" w14:textId="77777777" w:rsidR="007B2CFA" w:rsidRDefault="003540EA" w:rsidP="00533399">
            <w:pPr>
              <w:keepNext/>
              <w:keepLines/>
              <w:spacing w:before="120" w:after="120"/>
              <w:jc w:val="left"/>
              <w:rPr>
                <w:bCs/>
              </w:rPr>
            </w:pPr>
            <w:hyperlink r:id="rId14" w:history="1">
              <w:r w:rsidR="006F12BF" w:rsidRPr="003A3E55">
                <w:rPr>
                  <w:bCs/>
                  <w:color w:val="0000FF"/>
                  <w:u w:val="single"/>
                </w:rPr>
                <w:t>http://consultasenlinea.mincetur.gob.pe/notificaciones/Publico/FrmBuscador.aspx</w:t>
              </w:r>
            </w:hyperlink>
          </w:p>
          <w:p w14:paraId="74F6ACB6" w14:textId="77777777" w:rsidR="00E813E9" w:rsidRPr="003A3E55" w:rsidRDefault="003540EA" w:rsidP="00533399">
            <w:pPr>
              <w:keepNext/>
              <w:keepLines/>
              <w:spacing w:before="120" w:after="120"/>
              <w:jc w:val="left"/>
              <w:rPr>
                <w:bCs/>
              </w:rPr>
            </w:pPr>
            <w:hyperlink r:id="rId15" w:history="1">
              <w:r w:rsidR="007B2CFA" w:rsidRPr="003A3E55">
                <w:rPr>
                  <w:bCs/>
                  <w:color w:val="0000FF"/>
                  <w:u w:val="single"/>
                </w:rPr>
                <w:t>https://members.wto.org/crnattachments/2021/TBT/PER/21_4491_00_s.pdf</w:t>
              </w:r>
            </w:hyperlink>
            <w:bookmarkEnd w:id="39"/>
          </w:p>
        </w:tc>
      </w:tr>
    </w:tbl>
    <w:p w14:paraId="36130037" w14:textId="77777777" w:rsidR="00AF251E" w:rsidRPr="003A3E55" w:rsidRDefault="00AF251E" w:rsidP="003A3E55"/>
    <w:sectPr w:rsidR="00AF251E" w:rsidRPr="003A3E55" w:rsidSect="00AE3C0C">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53244" w14:textId="77777777" w:rsidR="00507012" w:rsidRDefault="006F12BF">
      <w:r>
        <w:separator/>
      </w:r>
    </w:p>
  </w:endnote>
  <w:endnote w:type="continuationSeparator" w:id="0">
    <w:p w14:paraId="265E0787" w14:textId="77777777" w:rsidR="00507012" w:rsidRDefault="006F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6344" w14:textId="77777777" w:rsidR="00B531D9" w:rsidRPr="003A3E55" w:rsidRDefault="006F12BF"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C806" w14:textId="77777777" w:rsidR="00DD65B2" w:rsidRPr="003A3E55" w:rsidRDefault="006F12BF"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A103" w14:textId="77777777" w:rsidR="00DD65B2" w:rsidRPr="003A3E55" w:rsidRDefault="006F12BF">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0936" w14:textId="77777777" w:rsidR="00507012" w:rsidRDefault="006F12BF">
      <w:r>
        <w:separator/>
      </w:r>
    </w:p>
  </w:footnote>
  <w:footnote w:type="continuationSeparator" w:id="0">
    <w:p w14:paraId="7264A213" w14:textId="77777777" w:rsidR="00507012" w:rsidRDefault="006F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D34B" w14:textId="77777777" w:rsidR="00B531D9" w:rsidRPr="003A3E55" w:rsidRDefault="006F12BF" w:rsidP="00B531D9">
    <w:pPr>
      <w:pStyle w:val="Header"/>
      <w:pBdr>
        <w:bottom w:val="single" w:sz="4" w:space="1" w:color="auto"/>
      </w:pBdr>
      <w:tabs>
        <w:tab w:val="clear" w:pos="4513"/>
        <w:tab w:val="clear" w:pos="9027"/>
      </w:tabs>
      <w:jc w:val="center"/>
    </w:pPr>
    <w:r w:rsidRPr="003A3E55">
      <w:t>tbtSymbol</w:t>
    </w:r>
  </w:p>
  <w:p w14:paraId="454CA0B7" w14:textId="77777777" w:rsidR="00B531D9" w:rsidRPr="003A3E55" w:rsidRDefault="00B531D9" w:rsidP="00B531D9">
    <w:pPr>
      <w:pStyle w:val="Header"/>
      <w:pBdr>
        <w:bottom w:val="single" w:sz="4" w:space="1" w:color="auto"/>
      </w:pBdr>
      <w:tabs>
        <w:tab w:val="clear" w:pos="4513"/>
        <w:tab w:val="clear" w:pos="9027"/>
      </w:tabs>
      <w:jc w:val="center"/>
    </w:pPr>
  </w:p>
  <w:p w14:paraId="27BE64BF" w14:textId="77777777" w:rsidR="00B531D9" w:rsidRPr="003A3E55" w:rsidRDefault="006F12BF"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14:paraId="4E2BCC2D" w14:textId="77777777"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B6F2" w14:textId="77777777" w:rsidR="00B531D9" w:rsidRPr="003A3E55" w:rsidRDefault="006F12BF" w:rsidP="00B531D9">
    <w:pPr>
      <w:pStyle w:val="Header"/>
      <w:pBdr>
        <w:bottom w:val="single" w:sz="4" w:space="1" w:color="auto"/>
      </w:pBdr>
      <w:tabs>
        <w:tab w:val="clear" w:pos="4513"/>
        <w:tab w:val="clear" w:pos="9027"/>
      </w:tabs>
      <w:jc w:val="center"/>
    </w:pPr>
    <w:bookmarkStart w:id="40" w:name="spsSymbolHeader"/>
    <w:r w:rsidRPr="003A3E55">
      <w:t>G/TBT/N/PER/132</w:t>
    </w:r>
    <w:bookmarkEnd w:id="40"/>
  </w:p>
  <w:p w14:paraId="45FF2AE5" w14:textId="77777777" w:rsidR="00B531D9" w:rsidRPr="003A3E55" w:rsidRDefault="00B531D9" w:rsidP="00B531D9">
    <w:pPr>
      <w:pStyle w:val="Header"/>
      <w:pBdr>
        <w:bottom w:val="single" w:sz="4" w:space="1" w:color="auto"/>
      </w:pBdr>
      <w:tabs>
        <w:tab w:val="clear" w:pos="4513"/>
        <w:tab w:val="clear" w:pos="9027"/>
      </w:tabs>
      <w:jc w:val="center"/>
    </w:pPr>
  </w:p>
  <w:p w14:paraId="691D7558" w14:textId="77777777" w:rsidR="00B531D9" w:rsidRPr="003A3E55" w:rsidRDefault="006F12BF"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14:paraId="2A2BAF39" w14:textId="77777777"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4167A8" w14:paraId="43DEFA5A" w14:textId="77777777" w:rsidTr="004D5D05">
      <w:trPr>
        <w:trHeight w:val="240"/>
        <w:jc w:val="center"/>
      </w:trPr>
      <w:tc>
        <w:tcPr>
          <w:tcW w:w="3818" w:type="dxa"/>
          <w:shd w:val="clear" w:color="auto" w:fill="FFFFFF"/>
          <w:tcMar>
            <w:top w:w="0" w:type="dxa"/>
            <w:left w:w="108" w:type="dxa"/>
            <w:bottom w:w="0" w:type="dxa"/>
            <w:right w:w="108" w:type="dxa"/>
          </w:tcMar>
          <w:vAlign w:val="center"/>
        </w:tcPr>
        <w:p w14:paraId="65CB9186" w14:textId="77777777" w:rsidR="005D4F0E" w:rsidRPr="00674766" w:rsidRDefault="005D4F0E">
          <w:pPr>
            <w:rPr>
              <w:noProof/>
              <w:szCs w:val="18"/>
              <w:lang w:eastAsia="en-GB"/>
            </w:rPr>
          </w:pPr>
          <w:bookmarkStart w:id="41" w:name="bmkRestricted" w:colFirst="1" w:colLast="1"/>
        </w:p>
      </w:tc>
      <w:tc>
        <w:tcPr>
          <w:tcW w:w="5424" w:type="dxa"/>
          <w:gridSpan w:val="2"/>
          <w:shd w:val="clear" w:color="auto" w:fill="FFFFFF"/>
          <w:tcMar>
            <w:top w:w="0" w:type="dxa"/>
            <w:left w:w="108" w:type="dxa"/>
            <w:bottom w:w="0" w:type="dxa"/>
            <w:right w:w="108" w:type="dxa"/>
          </w:tcMar>
          <w:vAlign w:val="center"/>
        </w:tcPr>
        <w:p w14:paraId="4D9ABA04" w14:textId="77777777" w:rsidR="005D4F0E" w:rsidRPr="00674766" w:rsidRDefault="005D4F0E">
          <w:pPr>
            <w:jc w:val="right"/>
            <w:rPr>
              <w:b/>
              <w:color w:val="FF0000"/>
              <w:szCs w:val="18"/>
            </w:rPr>
          </w:pPr>
        </w:p>
      </w:tc>
    </w:tr>
    <w:bookmarkEnd w:id="41"/>
    <w:tr w:rsidR="004167A8" w14:paraId="64F63076" w14:textId="77777777" w:rsidTr="004D5D05">
      <w:trPr>
        <w:trHeight w:val="213"/>
        <w:jc w:val="center"/>
      </w:trPr>
      <w:tc>
        <w:tcPr>
          <w:tcW w:w="3818" w:type="dxa"/>
          <w:vMerge w:val="restart"/>
          <w:shd w:val="clear" w:color="auto" w:fill="FFFFFF"/>
          <w:hideMark/>
        </w:tcPr>
        <w:p w14:paraId="5C3732CC" w14:textId="77777777" w:rsidR="005D4F0E" w:rsidRPr="00674766" w:rsidRDefault="006F12BF">
          <w:pPr>
            <w:jc w:val="left"/>
            <w:rPr>
              <w:szCs w:val="18"/>
            </w:rPr>
          </w:pPr>
          <w:r>
            <w:rPr>
              <w:noProof/>
              <w:szCs w:val="18"/>
              <w:lang w:eastAsia="en-GB"/>
            </w:rPr>
            <w:drawing>
              <wp:inline distT="0" distB="0" distL="0" distR="0" wp14:anchorId="14359CC8" wp14:editId="67CC51D6">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554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4CA4AFB9" w14:textId="77777777" w:rsidR="005D4F0E" w:rsidRPr="00674766" w:rsidRDefault="005D4F0E">
          <w:pPr>
            <w:jc w:val="right"/>
            <w:rPr>
              <w:b/>
              <w:szCs w:val="18"/>
            </w:rPr>
          </w:pPr>
        </w:p>
      </w:tc>
    </w:tr>
    <w:tr w:rsidR="004167A8" w14:paraId="5308E605" w14:textId="77777777" w:rsidTr="004D5D05">
      <w:trPr>
        <w:trHeight w:val="868"/>
        <w:jc w:val="center"/>
      </w:trPr>
      <w:tc>
        <w:tcPr>
          <w:tcW w:w="3818" w:type="dxa"/>
          <w:vMerge/>
          <w:vAlign w:val="center"/>
          <w:hideMark/>
        </w:tcPr>
        <w:p w14:paraId="53ADFA0E"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545EC719" w14:textId="77777777" w:rsidR="00B531D9" w:rsidRPr="003A3E55" w:rsidRDefault="006F12BF" w:rsidP="005D4F0E">
          <w:pPr>
            <w:jc w:val="right"/>
            <w:rPr>
              <w:b/>
              <w:szCs w:val="18"/>
            </w:rPr>
          </w:pPr>
          <w:bookmarkStart w:id="42" w:name="bmkSymbols"/>
          <w:r w:rsidRPr="003A3E55">
            <w:rPr>
              <w:b/>
              <w:szCs w:val="18"/>
            </w:rPr>
            <w:t>G/TBT/N/PER/132</w:t>
          </w:r>
          <w:bookmarkEnd w:id="42"/>
        </w:p>
      </w:tc>
    </w:tr>
    <w:tr w:rsidR="004167A8" w14:paraId="2F46D4E3" w14:textId="77777777" w:rsidTr="004D5D05">
      <w:trPr>
        <w:trHeight w:val="240"/>
        <w:jc w:val="center"/>
      </w:trPr>
      <w:tc>
        <w:tcPr>
          <w:tcW w:w="3818" w:type="dxa"/>
          <w:vMerge/>
          <w:vAlign w:val="center"/>
          <w:hideMark/>
        </w:tcPr>
        <w:p w14:paraId="176D22CA"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50DC521C" w14:textId="2FAA4077" w:rsidR="005D4F0E" w:rsidRPr="00674766" w:rsidRDefault="008E3392" w:rsidP="005D4F0E">
          <w:pPr>
            <w:jc w:val="right"/>
            <w:rPr>
              <w:szCs w:val="18"/>
            </w:rPr>
          </w:pPr>
          <w:bookmarkStart w:id="43" w:name="spsDateDistribution"/>
          <w:bookmarkStart w:id="44" w:name="bmkDate"/>
          <w:bookmarkEnd w:id="43"/>
          <w:bookmarkEnd w:id="44"/>
          <w:r>
            <w:rPr>
              <w:szCs w:val="18"/>
            </w:rPr>
            <w:t xml:space="preserve">5 </w:t>
          </w:r>
          <w:r w:rsidR="003540EA">
            <w:rPr>
              <w:szCs w:val="18"/>
            </w:rPr>
            <w:t>de julio de</w:t>
          </w:r>
          <w:r>
            <w:rPr>
              <w:szCs w:val="18"/>
            </w:rPr>
            <w:t xml:space="preserve"> 2021</w:t>
          </w:r>
        </w:p>
      </w:tc>
    </w:tr>
    <w:tr w:rsidR="004167A8" w14:paraId="70C20E9D" w14:textId="7777777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4B61E4B4" w14:textId="4167F178" w:rsidR="005D4F0E" w:rsidRPr="00674766" w:rsidRDefault="006F12BF">
          <w:pPr>
            <w:jc w:val="left"/>
            <w:rPr>
              <w:b/>
              <w:szCs w:val="18"/>
            </w:rPr>
          </w:pPr>
          <w:bookmarkStart w:id="45" w:name="bmkSerial"/>
          <w:r w:rsidRPr="003A3E55">
            <w:rPr>
              <w:color w:val="FF0000"/>
              <w:szCs w:val="18"/>
            </w:rPr>
            <w:t>(</w:t>
          </w:r>
          <w:bookmarkStart w:id="46" w:name="spsSerialNumber"/>
          <w:bookmarkEnd w:id="46"/>
          <w:r w:rsidR="008E3392">
            <w:rPr>
              <w:color w:val="FF0000"/>
              <w:szCs w:val="18"/>
            </w:rPr>
            <w:t>21-</w:t>
          </w:r>
          <w:r w:rsidR="00455B73">
            <w:rPr>
              <w:color w:val="FF0000"/>
              <w:szCs w:val="18"/>
            </w:rPr>
            <w:t>5324</w:t>
          </w:r>
          <w:r w:rsidRPr="003A3E55">
            <w:rPr>
              <w:color w:val="FF0000"/>
              <w:szCs w:val="18"/>
            </w:rPr>
            <w:t>)</w:t>
          </w:r>
          <w:bookmarkEnd w:id="45"/>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058F97E0" w14:textId="77777777" w:rsidR="005D4F0E" w:rsidRPr="00674766" w:rsidRDefault="006F12BF" w:rsidP="005D4F0E">
          <w:pPr>
            <w:jc w:val="right"/>
            <w:rPr>
              <w:szCs w:val="18"/>
            </w:rPr>
          </w:pPr>
          <w:bookmarkStart w:id="47"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7"/>
        </w:p>
      </w:tc>
    </w:tr>
    <w:tr w:rsidR="004167A8" w14:paraId="34F81C39" w14:textId="7777777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FB79D9C" w14:textId="77777777" w:rsidR="005D4F0E" w:rsidRPr="00674766" w:rsidRDefault="006F12BF">
          <w:pPr>
            <w:jc w:val="left"/>
            <w:rPr>
              <w:szCs w:val="18"/>
            </w:rPr>
          </w:pPr>
          <w:bookmarkStart w:id="48" w:name="bmkCommittee"/>
          <w:r w:rsidRPr="003A3E55">
            <w:rPr>
              <w:b/>
              <w:szCs w:val="18"/>
            </w:rPr>
            <w:t>Comité de Obstáculos Técnicos al Comercio</w:t>
          </w:r>
          <w:bookmarkEnd w:id="48"/>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22265E30" w14:textId="77777777" w:rsidR="005D4F0E" w:rsidRPr="003A3E55" w:rsidRDefault="006F12BF">
          <w:pPr>
            <w:jc w:val="right"/>
            <w:rPr>
              <w:bCs/>
              <w:szCs w:val="18"/>
            </w:rPr>
          </w:pPr>
          <w:bookmarkStart w:id="49" w:name="bmkLanguage"/>
          <w:r w:rsidRPr="003A3E55">
            <w:rPr>
              <w:bCs/>
              <w:szCs w:val="18"/>
            </w:rPr>
            <w:t>Original:</w:t>
          </w:r>
          <w:r w:rsidR="00AF251E" w:rsidRPr="003A3E55">
            <w:rPr>
              <w:bCs/>
              <w:szCs w:val="18"/>
            </w:rPr>
            <w:t xml:space="preserve"> </w:t>
          </w:r>
          <w:bookmarkStart w:id="50" w:name="spsOriginalLanguage"/>
          <w:r w:rsidRPr="003A3E55">
            <w:rPr>
              <w:bCs/>
              <w:szCs w:val="18"/>
            </w:rPr>
            <w:t>español</w:t>
          </w:r>
          <w:bookmarkEnd w:id="50"/>
          <w:bookmarkEnd w:id="49"/>
        </w:p>
      </w:tc>
    </w:tr>
  </w:tbl>
  <w:p w14:paraId="2D5F86CF" w14:textId="77777777"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8E9FD0">
      <w:start w:val="1"/>
      <w:numFmt w:val="decimal"/>
      <w:pStyle w:val="SummaryText"/>
      <w:lvlText w:val="%1."/>
      <w:lvlJc w:val="left"/>
      <w:pPr>
        <w:ind w:left="360" w:hanging="360"/>
      </w:pPr>
    </w:lvl>
    <w:lvl w:ilvl="1" w:tplc="6C6E4B2E" w:tentative="1">
      <w:start w:val="1"/>
      <w:numFmt w:val="lowerLetter"/>
      <w:lvlText w:val="%2."/>
      <w:lvlJc w:val="left"/>
      <w:pPr>
        <w:ind w:left="1080" w:hanging="360"/>
      </w:pPr>
    </w:lvl>
    <w:lvl w:ilvl="2" w:tplc="B20ABEDA" w:tentative="1">
      <w:start w:val="1"/>
      <w:numFmt w:val="lowerRoman"/>
      <w:lvlText w:val="%3."/>
      <w:lvlJc w:val="right"/>
      <w:pPr>
        <w:ind w:left="1800" w:hanging="180"/>
      </w:pPr>
    </w:lvl>
    <w:lvl w:ilvl="3" w:tplc="420C4F30" w:tentative="1">
      <w:start w:val="1"/>
      <w:numFmt w:val="decimal"/>
      <w:lvlText w:val="%4."/>
      <w:lvlJc w:val="left"/>
      <w:pPr>
        <w:ind w:left="2520" w:hanging="360"/>
      </w:pPr>
    </w:lvl>
    <w:lvl w:ilvl="4" w:tplc="51688A84" w:tentative="1">
      <w:start w:val="1"/>
      <w:numFmt w:val="lowerLetter"/>
      <w:lvlText w:val="%5."/>
      <w:lvlJc w:val="left"/>
      <w:pPr>
        <w:ind w:left="3240" w:hanging="360"/>
      </w:pPr>
    </w:lvl>
    <w:lvl w:ilvl="5" w:tplc="6BB8F38E" w:tentative="1">
      <w:start w:val="1"/>
      <w:numFmt w:val="lowerRoman"/>
      <w:lvlText w:val="%6."/>
      <w:lvlJc w:val="right"/>
      <w:pPr>
        <w:ind w:left="3960" w:hanging="180"/>
      </w:pPr>
    </w:lvl>
    <w:lvl w:ilvl="6" w:tplc="264A6684" w:tentative="1">
      <w:start w:val="1"/>
      <w:numFmt w:val="decimal"/>
      <w:lvlText w:val="%7."/>
      <w:lvlJc w:val="left"/>
      <w:pPr>
        <w:ind w:left="4680" w:hanging="360"/>
      </w:pPr>
    </w:lvl>
    <w:lvl w:ilvl="7" w:tplc="2CFC181E" w:tentative="1">
      <w:start w:val="1"/>
      <w:numFmt w:val="lowerLetter"/>
      <w:lvlText w:val="%8."/>
      <w:lvlJc w:val="left"/>
      <w:pPr>
        <w:ind w:left="5400" w:hanging="360"/>
      </w:pPr>
    </w:lvl>
    <w:lvl w:ilvl="8" w:tplc="B170AA4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6044F46">
      <w:start w:val="1"/>
      <w:numFmt w:val="bullet"/>
      <w:lvlText w:val=""/>
      <w:lvlJc w:val="left"/>
      <w:pPr>
        <w:ind w:left="720" w:hanging="360"/>
      </w:pPr>
      <w:rPr>
        <w:rFonts w:ascii="Symbol" w:hAnsi="Symbol"/>
      </w:rPr>
    </w:lvl>
    <w:lvl w:ilvl="1" w:tplc="8F567B3A">
      <w:start w:val="1"/>
      <w:numFmt w:val="bullet"/>
      <w:lvlText w:val="o"/>
      <w:lvlJc w:val="left"/>
      <w:pPr>
        <w:tabs>
          <w:tab w:val="num" w:pos="1440"/>
        </w:tabs>
        <w:ind w:left="1440" w:hanging="360"/>
      </w:pPr>
      <w:rPr>
        <w:rFonts w:ascii="Courier New" w:hAnsi="Courier New"/>
      </w:rPr>
    </w:lvl>
    <w:lvl w:ilvl="2" w:tplc="FF422C1C">
      <w:start w:val="1"/>
      <w:numFmt w:val="bullet"/>
      <w:lvlText w:val=""/>
      <w:lvlJc w:val="left"/>
      <w:pPr>
        <w:tabs>
          <w:tab w:val="num" w:pos="2160"/>
        </w:tabs>
        <w:ind w:left="2160" w:hanging="360"/>
      </w:pPr>
      <w:rPr>
        <w:rFonts w:ascii="Wingdings" w:hAnsi="Wingdings"/>
      </w:rPr>
    </w:lvl>
    <w:lvl w:ilvl="3" w:tplc="9462DE48">
      <w:start w:val="1"/>
      <w:numFmt w:val="bullet"/>
      <w:lvlText w:val=""/>
      <w:lvlJc w:val="left"/>
      <w:pPr>
        <w:tabs>
          <w:tab w:val="num" w:pos="2880"/>
        </w:tabs>
        <w:ind w:left="2880" w:hanging="360"/>
      </w:pPr>
      <w:rPr>
        <w:rFonts w:ascii="Symbol" w:hAnsi="Symbol"/>
      </w:rPr>
    </w:lvl>
    <w:lvl w:ilvl="4" w:tplc="0638F8D2">
      <w:start w:val="1"/>
      <w:numFmt w:val="bullet"/>
      <w:lvlText w:val="o"/>
      <w:lvlJc w:val="left"/>
      <w:pPr>
        <w:tabs>
          <w:tab w:val="num" w:pos="3600"/>
        </w:tabs>
        <w:ind w:left="3600" w:hanging="360"/>
      </w:pPr>
      <w:rPr>
        <w:rFonts w:ascii="Courier New" w:hAnsi="Courier New"/>
      </w:rPr>
    </w:lvl>
    <w:lvl w:ilvl="5" w:tplc="2FD43E4A">
      <w:start w:val="1"/>
      <w:numFmt w:val="bullet"/>
      <w:lvlText w:val=""/>
      <w:lvlJc w:val="left"/>
      <w:pPr>
        <w:tabs>
          <w:tab w:val="num" w:pos="4320"/>
        </w:tabs>
        <w:ind w:left="4320" w:hanging="360"/>
      </w:pPr>
      <w:rPr>
        <w:rFonts w:ascii="Wingdings" w:hAnsi="Wingdings"/>
      </w:rPr>
    </w:lvl>
    <w:lvl w:ilvl="6" w:tplc="1CC04BA0">
      <w:start w:val="1"/>
      <w:numFmt w:val="bullet"/>
      <w:lvlText w:val=""/>
      <w:lvlJc w:val="left"/>
      <w:pPr>
        <w:tabs>
          <w:tab w:val="num" w:pos="5040"/>
        </w:tabs>
        <w:ind w:left="5040" w:hanging="360"/>
      </w:pPr>
      <w:rPr>
        <w:rFonts w:ascii="Symbol" w:hAnsi="Symbol"/>
      </w:rPr>
    </w:lvl>
    <w:lvl w:ilvl="7" w:tplc="9C20FBFC">
      <w:start w:val="1"/>
      <w:numFmt w:val="bullet"/>
      <w:lvlText w:val="o"/>
      <w:lvlJc w:val="left"/>
      <w:pPr>
        <w:tabs>
          <w:tab w:val="num" w:pos="5760"/>
        </w:tabs>
        <w:ind w:left="5760" w:hanging="360"/>
      </w:pPr>
      <w:rPr>
        <w:rFonts w:ascii="Courier New" w:hAnsi="Courier New"/>
      </w:rPr>
    </w:lvl>
    <w:lvl w:ilvl="8" w:tplc="BCE08544">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010CD"/>
    <w:rsid w:val="003267CD"/>
    <w:rsid w:val="00334600"/>
    <w:rsid w:val="00337700"/>
    <w:rsid w:val="003422F5"/>
    <w:rsid w:val="00342A86"/>
    <w:rsid w:val="003540EA"/>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167A8"/>
    <w:rsid w:val="00426FB1"/>
    <w:rsid w:val="0043612A"/>
    <w:rsid w:val="00440FA1"/>
    <w:rsid w:val="00455B73"/>
    <w:rsid w:val="00465E2A"/>
    <w:rsid w:val="00466A2B"/>
    <w:rsid w:val="004935F4"/>
    <w:rsid w:val="004B06F7"/>
    <w:rsid w:val="004D290D"/>
    <w:rsid w:val="004D3BBA"/>
    <w:rsid w:val="004D5D05"/>
    <w:rsid w:val="004D622B"/>
    <w:rsid w:val="004E1A35"/>
    <w:rsid w:val="004E55A0"/>
    <w:rsid w:val="004F4ADE"/>
    <w:rsid w:val="00507012"/>
    <w:rsid w:val="00524772"/>
    <w:rsid w:val="00533399"/>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12BF"/>
    <w:rsid w:val="006F728A"/>
    <w:rsid w:val="00727F5B"/>
    <w:rsid w:val="00735ADA"/>
    <w:rsid w:val="007461AF"/>
    <w:rsid w:val="00795114"/>
    <w:rsid w:val="00795D34"/>
    <w:rsid w:val="00797BE0"/>
    <w:rsid w:val="007A761F"/>
    <w:rsid w:val="007B2CFA"/>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3392"/>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3E9"/>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 w:type="character" w:customStyle="1" w:styleId="UnresolvedMention1">
    <w:name w:val="Unresolved Mention1"/>
    <w:basedOn w:val="DefaultParagraphFont"/>
    <w:uiPriority w:val="99"/>
    <w:rsid w:val="007B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c@mincetur.gob.pe" TargetMode="External"/><Relationship Id="rId13" Type="http://schemas.openxmlformats.org/officeDocument/2006/relationships/hyperlink" Target="http://extranet.comunidadandina.org/sirt/public/index.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normalim@minsa.gob.pe" TargetMode="External"/><Relationship Id="rId12" Type="http://schemas.openxmlformats.org/officeDocument/2006/relationships/hyperlink" Target="http://www.digesa.minsa.gob.pe/norma_consulta/RM_%20712-2021-MINSA.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malim@minsa.gob.pe" TargetMode="External"/><Relationship Id="rId5" Type="http://schemas.openxmlformats.org/officeDocument/2006/relationships/footnotes" Target="footnotes.xml"/><Relationship Id="rId15" Type="http://schemas.openxmlformats.org/officeDocument/2006/relationships/hyperlink" Target="https://members.wto.org/crnattachments/2021/TBT/PER/21_4491_00_s.pdf" TargetMode="External"/><Relationship Id="rId23" Type="http://schemas.openxmlformats.org/officeDocument/2006/relationships/theme" Target="theme/theme1.xml"/><Relationship Id="rId10" Type="http://schemas.openxmlformats.org/officeDocument/2006/relationships/hyperlink" Target="mailto:otc@mincetur.gob.p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pps.who.int/iris/bitstream/handle/10665/44624/97892141564274_eng.pdf?sequence=1&amp;isAllowed=y" TargetMode="External"/><Relationship Id="rId14" Type="http://schemas.openxmlformats.org/officeDocument/2006/relationships/hyperlink" Target="http://consultasenlinea.mincetur.gob.pe/notificaciones/Publico/FrmBuscador.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2021-07-05T09:47:00Z</dcterms:created>
  <dcterms:modified xsi:type="dcterms:W3CDTF">2021-07-05T11:52:00Z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f7bacae2-dd7c-44b8-815b-5b629b99031c</vt:lpwstr>
  </property>
  <property fmtid="{D5CDD505-2E9C-101B-9397-08002B2CF9AE}" pid="4" name="WTOCLASSIFICATION">
    <vt:lpwstr>WTO OFFICIAL</vt:lpwstr>
  </property>
</Properties>
</file>