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F79F" w14:textId="77777777" w:rsidR="002D78C9" w:rsidRDefault="00E46947" w:rsidP="00DD3DD7">
      <w:pPr>
        <w:pStyle w:val="Title"/>
      </w:pPr>
      <w:r w:rsidRPr="002F663C">
        <w:t>NOTIFICATION</w:t>
      </w:r>
    </w:p>
    <w:p w14:paraId="526697CE" w14:textId="77777777" w:rsidR="002F663C" w:rsidRPr="002F663C" w:rsidRDefault="00E46947" w:rsidP="00DD3DD7">
      <w:pPr>
        <w:pStyle w:val="Title3"/>
      </w:pPr>
      <w:r w:rsidRPr="002F663C">
        <w:t>Addendum</w:t>
      </w:r>
    </w:p>
    <w:p w14:paraId="44DA9C38" w14:textId="77777777" w:rsidR="002F663C" w:rsidRDefault="00E46947"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9 July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11A7D6C8" w14:textId="77777777" w:rsidR="001E2E4A" w:rsidRPr="002F663C" w:rsidRDefault="001E2E4A" w:rsidP="001E2E4A">
      <w:pPr>
        <w:rPr>
          <w:rFonts w:eastAsia="Calibri" w:cs="Times New Roman"/>
        </w:rPr>
      </w:pPr>
    </w:p>
    <w:p w14:paraId="6EE7603D" w14:textId="77777777" w:rsidR="002F663C" w:rsidRPr="002F663C" w:rsidRDefault="00E46947" w:rsidP="002F663C">
      <w:pPr>
        <w:jc w:val="center"/>
        <w:rPr>
          <w:rFonts w:eastAsia="Calibri" w:cs="Times New Roman"/>
          <w:b/>
        </w:rPr>
      </w:pPr>
      <w:r w:rsidRPr="002F663C">
        <w:rPr>
          <w:rFonts w:eastAsia="Calibri" w:cs="Times New Roman"/>
          <w:b/>
        </w:rPr>
        <w:t>_______________</w:t>
      </w:r>
    </w:p>
    <w:p w14:paraId="3D63FD18" w14:textId="77777777" w:rsidR="002F663C" w:rsidRDefault="002F663C" w:rsidP="002F663C">
      <w:pPr>
        <w:rPr>
          <w:rFonts w:eastAsia="Calibri" w:cs="Times New Roman"/>
        </w:rPr>
      </w:pPr>
    </w:p>
    <w:p w14:paraId="3FF16227" w14:textId="77777777" w:rsidR="00C14444" w:rsidRPr="002F663C" w:rsidRDefault="00C14444" w:rsidP="002F663C">
      <w:pPr>
        <w:rPr>
          <w:rFonts w:eastAsia="Calibri" w:cs="Times New Roman"/>
        </w:rPr>
      </w:pPr>
    </w:p>
    <w:p w14:paraId="2A4F433E" w14:textId="77777777" w:rsidR="002F663C" w:rsidRPr="002F663C" w:rsidRDefault="00E46947"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Hazard Communication Standard</w:t>
      </w:r>
      <w:bookmarkEnd w:id="3"/>
      <w:bookmarkEnd w:id="4"/>
    </w:p>
    <w:p w14:paraId="3DD36988"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EF28B6" w14:paraId="58E09FEA"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2844F3C" w14:textId="77777777" w:rsidR="002F663C" w:rsidRPr="002F663C" w:rsidRDefault="00E46947"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EF28B6" w14:paraId="7E27AC42" w14:textId="77777777" w:rsidTr="00E9471B">
        <w:tc>
          <w:tcPr>
            <w:tcW w:w="851" w:type="dxa"/>
            <w:shd w:val="clear" w:color="auto" w:fill="auto"/>
          </w:tcPr>
          <w:p w14:paraId="3C63BC3C" w14:textId="77777777" w:rsidR="002F663C" w:rsidRPr="00711F9C" w:rsidRDefault="00E46947"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X</w:t>
            </w:r>
            <w:bookmarkEnd w:id="6"/>
            <w:r w:rsidRPr="00711F9C">
              <w:rPr>
                <w:rFonts w:eastAsia="Calibri" w:cs="Times New Roman"/>
                <w:szCs w:val="18"/>
              </w:rPr>
              <w:t>]</w:t>
            </w:r>
          </w:p>
        </w:tc>
        <w:tc>
          <w:tcPr>
            <w:tcW w:w="8198" w:type="dxa"/>
            <w:shd w:val="clear" w:color="auto" w:fill="auto"/>
          </w:tcPr>
          <w:p w14:paraId="593916AC" w14:textId="77777777" w:rsidR="002F663C" w:rsidRPr="002F663C" w:rsidRDefault="00E46947"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r w:rsidR="00467A46">
              <w:rPr>
                <w:rFonts w:eastAsia="Calibri" w:cs="Times New Roman"/>
              </w:rPr>
              <w:t>22 July 2021; Extension of period to submit a notice of intent to appear (NOITA) at informal hearing</w:t>
            </w:r>
            <w:bookmarkEnd w:id="7"/>
          </w:p>
        </w:tc>
      </w:tr>
      <w:tr w:rsidR="00EF28B6" w14:paraId="087F70F1" w14:textId="77777777" w:rsidTr="00E9471B">
        <w:tc>
          <w:tcPr>
            <w:tcW w:w="851" w:type="dxa"/>
            <w:shd w:val="clear" w:color="auto" w:fill="auto"/>
          </w:tcPr>
          <w:p w14:paraId="53084FC5" w14:textId="77777777" w:rsidR="002F663C" w:rsidRPr="00711F9C" w:rsidRDefault="00E46947"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0E912B6" w14:textId="77777777" w:rsidR="002F663C" w:rsidRPr="002F663C" w:rsidRDefault="00E4694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EF28B6" w14:paraId="0240C73C" w14:textId="77777777" w:rsidTr="00E9471B">
        <w:tc>
          <w:tcPr>
            <w:tcW w:w="851" w:type="dxa"/>
            <w:shd w:val="clear" w:color="auto" w:fill="auto"/>
          </w:tcPr>
          <w:p w14:paraId="1C1C7019" w14:textId="77777777" w:rsidR="002F663C" w:rsidRPr="00711F9C" w:rsidRDefault="00E46947"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0A0523F3" w14:textId="77777777" w:rsidR="002F663C" w:rsidRPr="002F663C" w:rsidRDefault="00E4694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EF28B6" w14:paraId="5B6CB5C3" w14:textId="77777777" w:rsidTr="00E9471B">
        <w:tc>
          <w:tcPr>
            <w:tcW w:w="851" w:type="dxa"/>
            <w:shd w:val="clear" w:color="auto" w:fill="auto"/>
          </w:tcPr>
          <w:p w14:paraId="0A27E922" w14:textId="77777777" w:rsidR="002F663C" w:rsidRPr="00711F9C" w:rsidRDefault="00E46947"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38276C26" w14:textId="77777777" w:rsidR="002F663C" w:rsidRPr="002F663C" w:rsidRDefault="00E46947"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EF28B6" w14:paraId="4F0B94C0" w14:textId="77777777" w:rsidTr="00E9471B">
        <w:tc>
          <w:tcPr>
            <w:tcW w:w="851" w:type="dxa"/>
            <w:shd w:val="clear" w:color="auto" w:fill="auto"/>
          </w:tcPr>
          <w:p w14:paraId="7485E97B" w14:textId="77777777" w:rsidR="002F663C" w:rsidRPr="00711F9C" w:rsidRDefault="00E46947"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505B0640" w14:textId="77777777" w:rsidR="002F663C" w:rsidRPr="002F663C" w:rsidRDefault="00E46947"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EF28B6" w14:paraId="597F588D" w14:textId="77777777" w:rsidTr="00E9471B">
        <w:tc>
          <w:tcPr>
            <w:tcW w:w="851" w:type="dxa"/>
            <w:shd w:val="clear" w:color="auto" w:fill="auto"/>
          </w:tcPr>
          <w:p w14:paraId="0A5658E1" w14:textId="77777777" w:rsidR="002F663C" w:rsidRPr="00711F9C" w:rsidRDefault="00E46947"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2D9C5C06" w14:textId="77777777" w:rsidR="002F663C" w:rsidRPr="002F663C" w:rsidRDefault="00E46947"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62831311" w14:textId="77777777" w:rsidR="002F663C" w:rsidRPr="002F663C" w:rsidRDefault="00E46947"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EF28B6" w14:paraId="688059F0" w14:textId="77777777" w:rsidTr="00E9471B">
        <w:tc>
          <w:tcPr>
            <w:tcW w:w="851" w:type="dxa"/>
            <w:shd w:val="clear" w:color="auto" w:fill="auto"/>
          </w:tcPr>
          <w:p w14:paraId="05751036" w14:textId="77777777" w:rsidR="002F663C" w:rsidRPr="00711F9C" w:rsidRDefault="00E46947"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76FBAC2C" w14:textId="77777777" w:rsidR="002F663C" w:rsidRPr="002F663C" w:rsidRDefault="00E46947"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30091BE8" w14:textId="77777777" w:rsidR="002F663C" w:rsidRPr="002F663C" w:rsidRDefault="00E46947"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EF28B6" w14:paraId="4E2C614C" w14:textId="77777777" w:rsidTr="00E9471B">
        <w:tc>
          <w:tcPr>
            <w:tcW w:w="851" w:type="dxa"/>
            <w:shd w:val="clear" w:color="auto" w:fill="auto"/>
          </w:tcPr>
          <w:p w14:paraId="1F07310B" w14:textId="77777777" w:rsidR="002F663C" w:rsidRPr="00711F9C" w:rsidRDefault="00E46947"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71F13934" w14:textId="77777777" w:rsidR="002F663C" w:rsidRPr="002F663C" w:rsidRDefault="00E46947"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EF28B6" w14:paraId="08668B1C" w14:textId="77777777" w:rsidTr="00E9471B">
        <w:tc>
          <w:tcPr>
            <w:tcW w:w="851" w:type="dxa"/>
            <w:tcBorders>
              <w:bottom w:val="double" w:sz="4" w:space="0" w:color="auto"/>
            </w:tcBorders>
            <w:shd w:val="clear" w:color="auto" w:fill="auto"/>
          </w:tcPr>
          <w:p w14:paraId="179D7F8C" w14:textId="77777777" w:rsidR="002F663C" w:rsidRPr="00711F9C" w:rsidRDefault="00E46947"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1032D6A9" w14:textId="77777777" w:rsidR="00070832" w:rsidRDefault="00E46947"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p>
          <w:p w14:paraId="0961B8BC" w14:textId="77777777" w:rsidR="002F663C" w:rsidRPr="002F663C" w:rsidRDefault="001675BD" w:rsidP="00EB7B40">
            <w:pPr>
              <w:spacing w:before="60" w:after="60"/>
              <w:rPr>
                <w:rFonts w:eastAsia="Calibri" w:cs="Times New Roman"/>
              </w:rPr>
            </w:pPr>
            <w:hyperlink r:id="rId8" w:history="1">
              <w:r w:rsidR="00E46947" w:rsidRPr="00D82D61">
                <w:rPr>
                  <w:rStyle w:val="Hyperlink"/>
                  <w:rFonts w:eastAsia="Calibri" w:cs="Times New Roman"/>
                </w:rPr>
                <w:t>https://www.govinfo.gov/content/pkg/FR-2021-07-08/html/2021-14463.htm</w:t>
              </w:r>
            </w:hyperlink>
          </w:p>
          <w:p w14:paraId="04F8C5A3" w14:textId="77777777" w:rsidR="00467A46" w:rsidRDefault="001675BD" w:rsidP="00EB7B40">
            <w:pPr>
              <w:spacing w:before="60" w:after="60"/>
              <w:rPr>
                <w:rFonts w:eastAsia="Calibri" w:cs="Times New Roman"/>
              </w:rPr>
            </w:pPr>
            <w:hyperlink r:id="rId9" w:history="1">
              <w:r w:rsidR="00E46947">
                <w:rPr>
                  <w:rFonts w:eastAsia="Calibri" w:cs="Times New Roman"/>
                  <w:color w:val="0000FF"/>
                  <w:u w:val="single"/>
                </w:rPr>
                <w:t>https://www.govinfo.gov/content/pkg/FR-2021-07-08/pdf/2021-14463.pdf</w:t>
              </w:r>
            </w:hyperlink>
          </w:p>
          <w:p w14:paraId="56C2C0AD" w14:textId="77777777" w:rsidR="00467A46" w:rsidRDefault="001675BD" w:rsidP="00EB7B40">
            <w:pPr>
              <w:spacing w:before="60" w:after="60"/>
              <w:rPr>
                <w:rFonts w:eastAsia="Calibri" w:cs="Times New Roman"/>
              </w:rPr>
            </w:pPr>
            <w:hyperlink r:id="rId10" w:history="1">
              <w:r w:rsidR="00E46947">
                <w:rPr>
                  <w:rFonts w:eastAsia="Calibri" w:cs="Times New Roman"/>
                  <w:color w:val="0000FF"/>
                  <w:u w:val="single"/>
                </w:rPr>
                <w:t>https://members.wto.org/crnattachments/2021/TBT/USA/21_4581_00_e.pdf</w:t>
              </w:r>
            </w:hyperlink>
            <w:bookmarkEnd w:id="26"/>
          </w:p>
        </w:tc>
      </w:tr>
      <w:bookmarkEnd w:id="5"/>
    </w:tbl>
    <w:p w14:paraId="60F377FA" w14:textId="77777777" w:rsidR="002F663C" w:rsidRPr="002F663C" w:rsidRDefault="002F663C" w:rsidP="002F663C">
      <w:pPr>
        <w:jc w:val="left"/>
        <w:rPr>
          <w:rFonts w:eastAsia="Calibri" w:cs="Times New Roman"/>
          <w:highlight w:val="yellow"/>
        </w:rPr>
      </w:pPr>
    </w:p>
    <w:p w14:paraId="774EA49B" w14:textId="77777777" w:rsidR="003971FF" w:rsidRPr="007F6EA2" w:rsidRDefault="00E46947"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Hazard Communication Standard</w:t>
      </w:r>
    </w:p>
    <w:p w14:paraId="1F0DD901" w14:textId="77777777" w:rsidR="00695440" w:rsidRPr="002F663C" w:rsidRDefault="00E46947" w:rsidP="00B16ACF">
      <w:pPr>
        <w:spacing w:after="120"/>
        <w:rPr>
          <w:rFonts w:eastAsia="Calibri" w:cs="Times New Roman"/>
          <w:szCs w:val="18"/>
        </w:rPr>
      </w:pPr>
      <w:r w:rsidRPr="002F663C">
        <w:rPr>
          <w:rFonts w:eastAsia="Calibri" w:cs="Times New Roman"/>
          <w:szCs w:val="18"/>
        </w:rPr>
        <w:t>AGENCY: Occupational Safety and Health Administration (OSHA), Labor</w:t>
      </w:r>
    </w:p>
    <w:p w14:paraId="714AB73A" w14:textId="77777777" w:rsidR="00695440" w:rsidRPr="002F663C" w:rsidRDefault="00E46947" w:rsidP="00B16ACF">
      <w:pPr>
        <w:spacing w:after="120"/>
        <w:rPr>
          <w:rFonts w:eastAsia="Calibri" w:cs="Times New Roman"/>
          <w:szCs w:val="18"/>
        </w:rPr>
      </w:pPr>
      <w:r w:rsidRPr="002F663C">
        <w:rPr>
          <w:rFonts w:eastAsia="Calibri" w:cs="Times New Roman"/>
          <w:szCs w:val="18"/>
        </w:rPr>
        <w:t>ACTION: Proposed rule: Extension of period to submit a notice of intent to appear (NOITA) at informal hearing</w:t>
      </w:r>
    </w:p>
    <w:p w14:paraId="5A64314B" w14:textId="77777777" w:rsidR="00695440" w:rsidRPr="002F663C" w:rsidRDefault="00E46947" w:rsidP="00B16ACF">
      <w:pPr>
        <w:spacing w:after="120"/>
        <w:rPr>
          <w:rFonts w:eastAsia="Calibri" w:cs="Times New Roman"/>
          <w:szCs w:val="18"/>
        </w:rPr>
      </w:pPr>
      <w:r w:rsidRPr="002F663C">
        <w:rPr>
          <w:rFonts w:eastAsia="Calibri" w:cs="Times New Roman"/>
          <w:szCs w:val="18"/>
        </w:rPr>
        <w:t>SUMMARY: The period for submitting a NOITA is being extended by 14 days from the date of publication of this document to allow stakeholders interested in attending the informal public hearing on the proposed rule "Hazard Communication Standard" additional time to prepare their submissions.</w:t>
      </w:r>
    </w:p>
    <w:p w14:paraId="50C3E296" w14:textId="77777777" w:rsidR="00695440" w:rsidRPr="002F663C" w:rsidRDefault="00E46947" w:rsidP="00B16ACF">
      <w:pPr>
        <w:spacing w:after="120"/>
        <w:rPr>
          <w:rFonts w:eastAsia="Calibri" w:cs="Times New Roman"/>
          <w:szCs w:val="18"/>
        </w:rPr>
      </w:pPr>
      <w:r w:rsidRPr="002F663C">
        <w:rPr>
          <w:rFonts w:eastAsia="Calibri" w:cs="Times New Roman"/>
          <w:szCs w:val="18"/>
        </w:rPr>
        <w:t>DATES: NOITAs must be submitted 22 July 2021 in Docket Number OSHA-2019-0001.</w:t>
      </w:r>
    </w:p>
    <w:p w14:paraId="05D87441" w14:textId="77777777" w:rsidR="00695440" w:rsidRPr="002F663C" w:rsidRDefault="00E46947" w:rsidP="00B16ACF">
      <w:pPr>
        <w:spacing w:after="120"/>
        <w:rPr>
          <w:rFonts w:eastAsia="Calibri" w:cs="Times New Roman"/>
          <w:szCs w:val="18"/>
        </w:rPr>
      </w:pPr>
      <w:r w:rsidRPr="002F663C">
        <w:rPr>
          <w:rFonts w:eastAsia="Calibri" w:cs="Times New Roman"/>
          <w:szCs w:val="18"/>
        </w:rPr>
        <w:lastRenderedPageBreak/>
        <w:t>Informal public hearing: OSHA has scheduled an informal public hearing on the proposed rule to be held virtually via WebEx, beginning 21 September 2021, at 10:00 a.m., ET. If necessary, the hearing will continue from 9:30 a.m. until 5:00 p.m., ET, on subsequent days. Additional information</w:t>
      </w:r>
      <w:r w:rsidR="00070832">
        <w:rPr>
          <w:rFonts w:eastAsia="Calibri" w:cs="Times New Roman"/>
          <w:szCs w:val="18"/>
        </w:rPr>
        <w:t> </w:t>
      </w:r>
      <w:r w:rsidRPr="002F663C">
        <w:rPr>
          <w:rFonts w:eastAsia="Calibri" w:cs="Times New Roman"/>
          <w:szCs w:val="18"/>
        </w:rPr>
        <w:t>on</w:t>
      </w:r>
      <w:r w:rsidR="00070832">
        <w:rPr>
          <w:rFonts w:eastAsia="Calibri" w:cs="Times New Roman"/>
          <w:szCs w:val="18"/>
        </w:rPr>
        <w:t> </w:t>
      </w:r>
      <w:r w:rsidRPr="002F663C">
        <w:rPr>
          <w:rFonts w:eastAsia="Calibri" w:cs="Times New Roman"/>
          <w:szCs w:val="18"/>
        </w:rPr>
        <w:t>how</w:t>
      </w:r>
      <w:r w:rsidR="00070832">
        <w:rPr>
          <w:rFonts w:eastAsia="Calibri" w:cs="Times New Roman"/>
          <w:szCs w:val="18"/>
        </w:rPr>
        <w:t> </w:t>
      </w:r>
      <w:r w:rsidRPr="002F663C">
        <w:rPr>
          <w:rFonts w:eastAsia="Calibri" w:cs="Times New Roman"/>
          <w:szCs w:val="18"/>
        </w:rPr>
        <w:t xml:space="preserve">to access the informal hearing will be posted when available at </w:t>
      </w:r>
      <w:hyperlink r:id="rId11" w:tgtFrame="_blank" w:history="1">
        <w:r w:rsidRPr="002F663C">
          <w:rPr>
            <w:rFonts w:eastAsia="Calibri" w:cs="Times New Roman"/>
            <w:color w:val="0000FF"/>
            <w:szCs w:val="18"/>
            <w:u w:val="single"/>
          </w:rPr>
          <w:t>https://www.osha.gov/hazcom/rulemaking</w:t>
        </w:r>
      </w:hyperlink>
      <w:r w:rsidRPr="002F663C">
        <w:rPr>
          <w:rFonts w:eastAsia="Calibri" w:cs="Times New Roman"/>
          <w:szCs w:val="18"/>
        </w:rPr>
        <w:t>.</w:t>
      </w:r>
    </w:p>
    <w:p w14:paraId="5BF09A55" w14:textId="77777777" w:rsidR="00695440" w:rsidRPr="002F663C" w:rsidRDefault="00E46947" w:rsidP="00B16ACF">
      <w:pPr>
        <w:spacing w:after="120"/>
        <w:rPr>
          <w:rFonts w:eastAsia="Calibri" w:cs="Times New Roman"/>
          <w:szCs w:val="18"/>
        </w:rPr>
      </w:pPr>
      <w:r w:rsidRPr="002F663C">
        <w:rPr>
          <w:rFonts w:eastAsia="Calibri" w:cs="Times New Roman"/>
          <w:szCs w:val="18"/>
        </w:rPr>
        <w:t xml:space="preserve">This proposed rule: extension of period to submit a notice of intent to appear (NOITA) at informal hearing and previous actions notified under the symbol </w:t>
      </w:r>
      <w:hyperlink r:id="rId12" w:tgtFrame="_blank" w:history="1">
        <w:r w:rsidRPr="002F663C">
          <w:rPr>
            <w:rFonts w:eastAsia="Calibri" w:cs="Times New Roman"/>
            <w:color w:val="0000FF"/>
            <w:szCs w:val="18"/>
            <w:u w:val="single"/>
          </w:rPr>
          <w:t>G/TBT/N/USA/1697</w:t>
        </w:r>
      </w:hyperlink>
      <w:r w:rsidRPr="002F663C">
        <w:rPr>
          <w:rFonts w:eastAsia="Calibri" w:cs="Times New Roman"/>
          <w:szCs w:val="18"/>
        </w:rPr>
        <w:t xml:space="preserve"> are identified by Docket Number OSHA-2019-0001. The Docket Folder is available on Regulations.gov at </w:t>
      </w:r>
      <w:hyperlink r:id="rId13" w:tgtFrame="_blank" w:history="1">
        <w:r w:rsidRPr="002F663C">
          <w:rPr>
            <w:rFonts w:eastAsia="Calibri" w:cs="Times New Roman"/>
            <w:color w:val="0000FF"/>
            <w:szCs w:val="18"/>
            <w:u w:val="single"/>
          </w:rPr>
          <w:t>https://www.regulations.gov/docket/OSHA-2019-0001/document</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who intend to submit documentary evidence at the hearing are asked to submit this information to the </w:t>
      </w:r>
      <w:hyperlink r:id="rId15" w:history="1">
        <w:r w:rsidRPr="002F663C">
          <w:rPr>
            <w:rFonts w:eastAsia="Calibri" w:cs="Times New Roman"/>
            <w:color w:val="0000FF"/>
            <w:szCs w:val="18"/>
            <w:u w:val="single"/>
          </w:rPr>
          <w:t>USA TBT Enquiry Point</w:t>
        </w:r>
      </w:hyperlink>
      <w:r w:rsidRPr="002F663C">
        <w:rPr>
          <w:rFonts w:eastAsia="Calibri" w:cs="Times New Roman"/>
          <w:szCs w:val="18"/>
        </w:rPr>
        <w:t xml:space="preserve">. Testimony full-text as well as any documentary evidence received by the USA TBT Enquiry Point from WTO Members and their stakeholders will be shared with the regulator and will also be submitted to the </w:t>
      </w:r>
      <w:hyperlink r:id="rId16"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p>
    <w:p w14:paraId="385D9BFA" w14:textId="77777777" w:rsidR="006C5A96" w:rsidRDefault="00E46947" w:rsidP="006C5A96">
      <w:pPr>
        <w:jc w:val="center"/>
        <w:rPr>
          <w:b/>
        </w:rPr>
      </w:pPr>
      <w:r w:rsidRPr="003971FF">
        <w:rPr>
          <w:b/>
        </w:rPr>
        <w:t>__________</w:t>
      </w:r>
    </w:p>
    <w:p w14:paraId="7A358B47" w14:textId="77777777" w:rsidR="004D4D19" w:rsidRDefault="004D4D19" w:rsidP="007F38C2">
      <w:pPr>
        <w:jc w:val="center"/>
        <w:rPr>
          <w:b/>
        </w:rPr>
      </w:pPr>
    </w:p>
    <w:p w14:paraId="732D0B3D" w14:textId="77777777" w:rsidR="00A1565D" w:rsidRDefault="00A1565D" w:rsidP="003971FF">
      <w:pPr>
        <w:jc w:val="center"/>
        <w:rPr>
          <w:b/>
        </w:rPr>
      </w:pPr>
    </w:p>
    <w:sectPr w:rsidR="00A1565D" w:rsidSect="006C5A9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C4C1" w14:textId="77777777" w:rsidR="00997181" w:rsidRDefault="00E46947">
      <w:r>
        <w:separator/>
      </w:r>
    </w:p>
  </w:endnote>
  <w:endnote w:type="continuationSeparator" w:id="0">
    <w:p w14:paraId="4B5DC9CE" w14:textId="77777777" w:rsidR="00997181" w:rsidRDefault="00E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9B59" w14:textId="77777777" w:rsidR="00544326" w:rsidRPr="00DD3DD7" w:rsidRDefault="00E46947"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2C83" w14:textId="77777777" w:rsidR="00544326" w:rsidRPr="00DD3DD7" w:rsidRDefault="00E46947"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9CBE" w14:textId="77777777" w:rsidR="001675BD" w:rsidRDefault="0016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2B75" w14:textId="77777777" w:rsidR="00BB5622" w:rsidRDefault="00E46947" w:rsidP="00ED54E0">
      <w:r>
        <w:separator/>
      </w:r>
    </w:p>
  </w:footnote>
  <w:footnote w:type="continuationSeparator" w:id="0">
    <w:p w14:paraId="6CA385F4" w14:textId="77777777" w:rsidR="00BB5622" w:rsidRDefault="00E46947" w:rsidP="00ED54E0">
      <w:r>
        <w:continuationSeparator/>
      </w:r>
    </w:p>
  </w:footnote>
  <w:footnote w:id="1">
    <w:p w14:paraId="47A2DBDE" w14:textId="77777777" w:rsidR="007F6EA2" w:rsidRDefault="00E46947">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2F05E" w14:textId="77777777" w:rsidR="00DD3DD7" w:rsidRDefault="00E46947" w:rsidP="00DD3DD7">
    <w:pPr>
      <w:pStyle w:val="Header"/>
      <w:pBdr>
        <w:bottom w:val="single" w:sz="4" w:space="1" w:color="auto"/>
      </w:pBdr>
      <w:tabs>
        <w:tab w:val="clear" w:pos="4513"/>
        <w:tab w:val="clear" w:pos="9027"/>
      </w:tabs>
      <w:jc w:val="center"/>
    </w:pPr>
    <w:bookmarkStart w:id="27" w:name="bmkSymbols2"/>
    <w:r>
      <w:t>PROVISIONAL214581</w:t>
    </w:r>
    <w:bookmarkEnd w:id="27"/>
  </w:p>
  <w:p w14:paraId="20AC3D23" w14:textId="77777777" w:rsidR="004D4D19" w:rsidRPr="00DD3DD7" w:rsidRDefault="004D4D19" w:rsidP="00DD3DD7">
    <w:pPr>
      <w:pStyle w:val="Header"/>
      <w:pBdr>
        <w:bottom w:val="single" w:sz="4" w:space="1" w:color="auto"/>
      </w:pBdr>
      <w:tabs>
        <w:tab w:val="clear" w:pos="4513"/>
        <w:tab w:val="clear" w:pos="9027"/>
      </w:tabs>
      <w:jc w:val="center"/>
    </w:pPr>
  </w:p>
  <w:p w14:paraId="0AB22C47" w14:textId="77777777" w:rsidR="00DD3DD7" w:rsidRPr="00DD3DD7" w:rsidRDefault="00E4694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70595AFC"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79DD" w14:textId="77777777" w:rsidR="00DD3DD7" w:rsidRPr="00E46947" w:rsidRDefault="00E46947" w:rsidP="00DD3DD7">
    <w:pPr>
      <w:pStyle w:val="Header"/>
      <w:pBdr>
        <w:bottom w:val="single" w:sz="4" w:space="1" w:color="auto"/>
      </w:pBdr>
      <w:tabs>
        <w:tab w:val="clear" w:pos="4513"/>
        <w:tab w:val="clear" w:pos="9027"/>
      </w:tabs>
      <w:jc w:val="center"/>
      <w:rPr>
        <w:lang w:val="es-ES"/>
      </w:rPr>
    </w:pPr>
    <w:bookmarkStart w:id="28" w:name="spsSymbolHeader"/>
    <w:r w:rsidRPr="00E46947">
      <w:rPr>
        <w:lang w:val="es-ES"/>
      </w:rPr>
      <w:t>G/TBT/N/USA/1697/Add.3</w:t>
    </w:r>
    <w:bookmarkEnd w:id="28"/>
  </w:p>
  <w:p w14:paraId="028FE8B5" w14:textId="77777777" w:rsidR="00DD3DD7" w:rsidRPr="00E46947" w:rsidRDefault="00DD3DD7" w:rsidP="00DD3DD7">
    <w:pPr>
      <w:pStyle w:val="Header"/>
      <w:pBdr>
        <w:bottom w:val="single" w:sz="4" w:space="1" w:color="auto"/>
      </w:pBdr>
      <w:tabs>
        <w:tab w:val="clear" w:pos="4513"/>
        <w:tab w:val="clear" w:pos="9027"/>
      </w:tabs>
      <w:jc w:val="center"/>
      <w:rPr>
        <w:lang w:val="es-ES"/>
      </w:rPr>
    </w:pPr>
  </w:p>
  <w:p w14:paraId="65DF1DED" w14:textId="77777777" w:rsidR="00DD3DD7" w:rsidRPr="00DD3DD7" w:rsidRDefault="00E46947"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B8BF374"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28B6" w14:paraId="209A0F47" w14:textId="77777777" w:rsidTr="00544326">
      <w:trPr>
        <w:trHeight w:val="240"/>
        <w:jc w:val="center"/>
      </w:trPr>
      <w:tc>
        <w:tcPr>
          <w:tcW w:w="3794" w:type="dxa"/>
          <w:shd w:val="clear" w:color="auto" w:fill="FFFFFF"/>
          <w:tcMar>
            <w:left w:w="108" w:type="dxa"/>
            <w:right w:w="108" w:type="dxa"/>
          </w:tcMar>
          <w:vAlign w:val="center"/>
        </w:tcPr>
        <w:p w14:paraId="3E6C2830"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64E9AEB" w14:textId="77777777" w:rsidR="00ED54E0" w:rsidRPr="00182B84" w:rsidRDefault="00E46947" w:rsidP="00425DC5">
          <w:pPr>
            <w:jc w:val="right"/>
            <w:rPr>
              <w:b/>
              <w:color w:val="FF0000"/>
              <w:szCs w:val="16"/>
            </w:rPr>
          </w:pPr>
          <w:r>
            <w:rPr>
              <w:b/>
              <w:color w:val="FF0000"/>
              <w:szCs w:val="16"/>
            </w:rPr>
            <w:t xml:space="preserve"> </w:t>
          </w:r>
        </w:p>
      </w:tc>
    </w:tr>
    <w:tr w:rsidR="00EF28B6" w14:paraId="0C31EC4E" w14:textId="77777777" w:rsidTr="00544326">
      <w:trPr>
        <w:trHeight w:val="213"/>
        <w:jc w:val="center"/>
      </w:trPr>
      <w:tc>
        <w:tcPr>
          <w:tcW w:w="3794" w:type="dxa"/>
          <w:vMerge w:val="restart"/>
          <w:shd w:val="clear" w:color="auto" w:fill="FFFFFF"/>
          <w:tcMar>
            <w:left w:w="0" w:type="dxa"/>
            <w:right w:w="0" w:type="dxa"/>
          </w:tcMar>
        </w:tcPr>
        <w:p w14:paraId="5148CB78" w14:textId="77777777" w:rsidR="00ED54E0" w:rsidRPr="00182B84" w:rsidRDefault="00E46947" w:rsidP="00425DC5">
          <w:pPr>
            <w:jc w:val="left"/>
          </w:pPr>
          <w:r w:rsidRPr="00182B84">
            <w:rPr>
              <w:noProof/>
              <w:lang w:val="en-US"/>
            </w:rPr>
            <w:drawing>
              <wp:inline distT="0" distB="0" distL="0" distR="0" wp14:anchorId="452EA904" wp14:editId="2A16CC28">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0119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0B288AB" w14:textId="77777777" w:rsidR="00ED54E0" w:rsidRPr="00182B84" w:rsidRDefault="00ED54E0" w:rsidP="00425DC5">
          <w:pPr>
            <w:jc w:val="right"/>
            <w:rPr>
              <w:b/>
              <w:szCs w:val="16"/>
            </w:rPr>
          </w:pPr>
        </w:p>
      </w:tc>
    </w:tr>
    <w:tr w:rsidR="00EF28B6" w:rsidRPr="001675BD" w14:paraId="06B82BA9" w14:textId="77777777" w:rsidTr="00544326">
      <w:trPr>
        <w:trHeight w:val="868"/>
        <w:jc w:val="center"/>
      </w:trPr>
      <w:tc>
        <w:tcPr>
          <w:tcW w:w="3794" w:type="dxa"/>
          <w:vMerge/>
          <w:shd w:val="clear" w:color="auto" w:fill="FFFFFF"/>
          <w:tcMar>
            <w:left w:w="108" w:type="dxa"/>
            <w:right w:w="108" w:type="dxa"/>
          </w:tcMar>
        </w:tcPr>
        <w:p w14:paraId="72431A44"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135389CF" w14:textId="77777777" w:rsidR="00DD3DD7" w:rsidRPr="00E46947" w:rsidRDefault="00E46947" w:rsidP="00DD3DD7">
          <w:pPr>
            <w:jc w:val="right"/>
            <w:rPr>
              <w:rFonts w:eastAsia="Calibri" w:cs="Times New Roman"/>
              <w:b/>
              <w:szCs w:val="16"/>
              <w:lang w:val="es-ES"/>
            </w:rPr>
          </w:pPr>
          <w:bookmarkStart w:id="29" w:name="bmkSymbols"/>
          <w:r w:rsidRPr="00E46947">
            <w:rPr>
              <w:rFonts w:eastAsia="Calibri" w:cs="Times New Roman"/>
              <w:b/>
              <w:szCs w:val="16"/>
              <w:lang w:val="es-ES"/>
            </w:rPr>
            <w:t>G/TBT/N/USA/1697/Add.3</w:t>
          </w:r>
          <w:bookmarkEnd w:id="29"/>
        </w:p>
        <w:p w14:paraId="06DA7B48" w14:textId="77777777" w:rsidR="00C14444" w:rsidRPr="00E46947" w:rsidRDefault="00C14444" w:rsidP="00C14444">
          <w:pPr>
            <w:jc w:val="center"/>
            <w:rPr>
              <w:szCs w:val="16"/>
              <w:lang w:val="es-ES"/>
            </w:rPr>
          </w:pPr>
        </w:p>
      </w:tc>
    </w:tr>
    <w:tr w:rsidR="00EF28B6" w:rsidRPr="00E46947" w14:paraId="114A9822" w14:textId="77777777" w:rsidTr="00544326">
      <w:trPr>
        <w:trHeight w:val="240"/>
        <w:jc w:val="center"/>
      </w:trPr>
      <w:tc>
        <w:tcPr>
          <w:tcW w:w="3794" w:type="dxa"/>
          <w:vMerge/>
          <w:shd w:val="clear" w:color="auto" w:fill="FFFFFF"/>
          <w:tcMar>
            <w:left w:w="108" w:type="dxa"/>
            <w:right w:w="108" w:type="dxa"/>
          </w:tcMar>
          <w:vAlign w:val="center"/>
        </w:tcPr>
        <w:p w14:paraId="626FB634" w14:textId="77777777" w:rsidR="00ED54E0" w:rsidRPr="00E46947" w:rsidRDefault="00ED54E0" w:rsidP="00425DC5">
          <w:pPr>
            <w:rPr>
              <w:lang w:val="es-ES"/>
            </w:rPr>
          </w:pPr>
        </w:p>
      </w:tc>
      <w:tc>
        <w:tcPr>
          <w:tcW w:w="5448" w:type="dxa"/>
          <w:gridSpan w:val="2"/>
          <w:shd w:val="clear" w:color="auto" w:fill="FFFFFF"/>
          <w:tcMar>
            <w:left w:w="108" w:type="dxa"/>
            <w:right w:w="108" w:type="dxa"/>
          </w:tcMar>
          <w:vAlign w:val="center"/>
        </w:tcPr>
        <w:p w14:paraId="72ADD17D" w14:textId="14A3A417" w:rsidR="00ED54E0" w:rsidRPr="00E46947" w:rsidRDefault="00E46947" w:rsidP="00425DC5">
          <w:pPr>
            <w:jc w:val="right"/>
            <w:rPr>
              <w:szCs w:val="16"/>
              <w:lang w:val="es-ES"/>
            </w:rPr>
          </w:pPr>
          <w:bookmarkStart w:id="30" w:name="bmkDate"/>
          <w:bookmarkEnd w:id="30"/>
          <w:r>
            <w:rPr>
              <w:szCs w:val="16"/>
              <w:lang w:val="es-ES"/>
            </w:rPr>
            <w:t>9 July 2021</w:t>
          </w:r>
        </w:p>
      </w:tc>
    </w:tr>
    <w:tr w:rsidR="00EF28B6" w14:paraId="6E75AC19"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5BAFD3B" w14:textId="50D57B22" w:rsidR="00ED54E0" w:rsidRPr="00182B84" w:rsidRDefault="00E46947"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1675BD">
            <w:rPr>
              <w:rFonts w:eastAsia="Calibri" w:cs="Times New Roman"/>
              <w:color w:val="FF0000"/>
              <w:szCs w:val="16"/>
            </w:rPr>
            <w:t>5440</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2191B912" w14:textId="77777777" w:rsidR="00ED54E0" w:rsidRPr="00182B84" w:rsidRDefault="00E46947"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EF28B6" w14:paraId="43DD90A7"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581CA4" w14:textId="77777777" w:rsidR="00ED54E0" w:rsidRPr="00182B84" w:rsidRDefault="00E46947"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64F863C" w14:textId="77777777" w:rsidR="00ED54E0" w:rsidRPr="00182B84" w:rsidRDefault="00E46947"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26031CE1"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502B61E">
      <w:start w:val="1"/>
      <w:numFmt w:val="decimal"/>
      <w:pStyle w:val="SummaryText"/>
      <w:lvlText w:val="%1."/>
      <w:lvlJc w:val="left"/>
      <w:pPr>
        <w:ind w:left="360" w:hanging="360"/>
      </w:pPr>
    </w:lvl>
    <w:lvl w:ilvl="1" w:tplc="52527852" w:tentative="1">
      <w:start w:val="1"/>
      <w:numFmt w:val="lowerLetter"/>
      <w:lvlText w:val="%2."/>
      <w:lvlJc w:val="left"/>
      <w:pPr>
        <w:ind w:left="1080" w:hanging="360"/>
      </w:pPr>
    </w:lvl>
    <w:lvl w:ilvl="2" w:tplc="5CC2D8E4" w:tentative="1">
      <w:start w:val="1"/>
      <w:numFmt w:val="lowerRoman"/>
      <w:lvlText w:val="%3."/>
      <w:lvlJc w:val="right"/>
      <w:pPr>
        <w:ind w:left="1800" w:hanging="180"/>
      </w:pPr>
    </w:lvl>
    <w:lvl w:ilvl="3" w:tplc="60E23794" w:tentative="1">
      <w:start w:val="1"/>
      <w:numFmt w:val="decimal"/>
      <w:lvlText w:val="%4."/>
      <w:lvlJc w:val="left"/>
      <w:pPr>
        <w:ind w:left="2520" w:hanging="360"/>
      </w:pPr>
    </w:lvl>
    <w:lvl w:ilvl="4" w:tplc="94B2ED36" w:tentative="1">
      <w:start w:val="1"/>
      <w:numFmt w:val="lowerLetter"/>
      <w:lvlText w:val="%5."/>
      <w:lvlJc w:val="left"/>
      <w:pPr>
        <w:ind w:left="3240" w:hanging="360"/>
      </w:pPr>
    </w:lvl>
    <w:lvl w:ilvl="5" w:tplc="B6EA9F56" w:tentative="1">
      <w:start w:val="1"/>
      <w:numFmt w:val="lowerRoman"/>
      <w:lvlText w:val="%6."/>
      <w:lvlJc w:val="right"/>
      <w:pPr>
        <w:ind w:left="3960" w:hanging="180"/>
      </w:pPr>
    </w:lvl>
    <w:lvl w:ilvl="6" w:tplc="1C7C103A" w:tentative="1">
      <w:start w:val="1"/>
      <w:numFmt w:val="decimal"/>
      <w:lvlText w:val="%7."/>
      <w:lvlJc w:val="left"/>
      <w:pPr>
        <w:ind w:left="4680" w:hanging="360"/>
      </w:pPr>
    </w:lvl>
    <w:lvl w:ilvl="7" w:tplc="CA828516" w:tentative="1">
      <w:start w:val="1"/>
      <w:numFmt w:val="lowerLetter"/>
      <w:lvlText w:val="%8."/>
      <w:lvlJc w:val="left"/>
      <w:pPr>
        <w:ind w:left="5400" w:hanging="360"/>
      </w:pPr>
    </w:lvl>
    <w:lvl w:ilvl="8" w:tplc="006228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attachedTemplate r:id="rId1"/>
  <w:defaultTabStop w:val="567"/>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70832"/>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675BD"/>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95440"/>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97181"/>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2D61"/>
    <w:rsid w:val="00D9226C"/>
    <w:rsid w:val="00D95F69"/>
    <w:rsid w:val="00DA20BD"/>
    <w:rsid w:val="00DA4169"/>
    <w:rsid w:val="00DC1434"/>
    <w:rsid w:val="00DD3DD7"/>
    <w:rsid w:val="00DD4208"/>
    <w:rsid w:val="00DE1F32"/>
    <w:rsid w:val="00DE50DB"/>
    <w:rsid w:val="00DF085F"/>
    <w:rsid w:val="00DF6AE1"/>
    <w:rsid w:val="00E0707F"/>
    <w:rsid w:val="00E1426C"/>
    <w:rsid w:val="00E46947"/>
    <w:rsid w:val="00E46FD5"/>
    <w:rsid w:val="00E52003"/>
    <w:rsid w:val="00E544BB"/>
    <w:rsid w:val="00E56545"/>
    <w:rsid w:val="00E626B0"/>
    <w:rsid w:val="00E7107A"/>
    <w:rsid w:val="00E9471B"/>
    <w:rsid w:val="00EA5D4F"/>
    <w:rsid w:val="00EB2EDB"/>
    <w:rsid w:val="00EB6C56"/>
    <w:rsid w:val="00EB7B40"/>
    <w:rsid w:val="00EC74B2"/>
    <w:rsid w:val="00ED1D47"/>
    <w:rsid w:val="00ED54E0"/>
    <w:rsid w:val="00EE587D"/>
    <w:rsid w:val="00EF28B6"/>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18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 w:type="character" w:customStyle="1" w:styleId="Mentionnonrsolue1">
    <w:name w:val="Mention non résolue1"/>
    <w:basedOn w:val="DefaultParagraphFont"/>
    <w:uiPriority w:val="99"/>
    <w:rsid w:val="0007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08/html/2021-14463.htm" TargetMode="External"/><Relationship Id="rId13" Type="http://schemas.openxmlformats.org/officeDocument/2006/relationships/hyperlink" Target="https://www.regulations.gov/docket/OSHA-2019-0001/docu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tbtims.wto.org/en/Notifications/Search?ProductsCoveredHSCodes=&amp;ProductsCoveredICSCodes=&amp;DoSearch=True&amp;ExpandSearchMoreFields=False&amp;NotifyingMember=&amp;DocumentSymbol=usa%2F169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gulations.gov/docket/OSHA-2019-0001/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hazcom/rulemak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atbtep@nist.gov" TargetMode="External"/><Relationship Id="rId23" Type="http://schemas.openxmlformats.org/officeDocument/2006/relationships/fontTable" Target="fontTable.xml"/><Relationship Id="rId10" Type="http://schemas.openxmlformats.org/officeDocument/2006/relationships/hyperlink" Target="https://members.wto.org/crnattachments/2021/TBT/USA/21_4581_00_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info.gov/content/pkg/FR-2021-07-08/pdf/2021-14463.pdf" TargetMode="External"/><Relationship Id="rId14" Type="http://schemas.openxmlformats.org/officeDocument/2006/relationships/hyperlink" Target="http://www.regulations.gov/"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Johnson\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2021-07-09T13:32:00Z</dcterms:created>
  <dcterms:modified xsi:type="dcterms:W3CDTF">2021-07-09T14:32:00Z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